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text" w:tblpX="250" w:vertAnchor="text" w:tblpY="1" w:leftFromText="180" w:topFromText="0" w:rightFromText="180" w:bottomFromText="0"/>
        <w:tblW w:w="10006" w:type="dxa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130"/>
        <w:gridCol w:w="4876"/>
      </w:tblGrid>
      <w:tr>
        <w:tblPrEx/>
        <w:trPr>
          <w:trHeight w:val="1303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30" w:type="dxa"/>
            <w:vAlign w:val="top"/>
            <w:textDirection w:val="lrTb"/>
            <w:noWrap w:val="false"/>
          </w:tcPr>
          <w:p>
            <w:pPr>
              <w:pStyle w:val="913"/>
              <w:rPr>
                <w:bCs/>
                <w:color w:val="000000"/>
                <w:sz w:val="24"/>
                <w:szCs w:val="24"/>
              </w:rPr>
              <w:framePr w:hSpace="180" w:wrap="around" w:vAnchor="text" w:hAnchor="text" w:x="250" w:y="1"/>
            </w:pPr>
            <w:r>
              <w:rPr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76" w:type="dxa"/>
            <w:vAlign w:val="top"/>
            <w:textDirection w:val="lrTb"/>
            <w:noWrap w:val="false"/>
          </w:tcPr>
          <w:p>
            <w:pPr>
              <w:pStyle w:val="9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«УТВЕРЖДЕНО»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 заседании Закупочной комиссии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«28</w:t>
            </w:r>
            <w:r>
              <w:rPr>
                <w:color w:val="000000"/>
                <w:sz w:val="24"/>
                <w:szCs w:val="24"/>
              </w:rPr>
              <w:t xml:space="preserve">» марта</w:t>
            </w:r>
            <w:r>
              <w:rPr>
                <w:color w:val="000000"/>
                <w:sz w:val="24"/>
                <w:szCs w:val="24"/>
              </w:rPr>
              <w:t xml:space="preserve"> 2025 г.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13"/>
              <w:jc w:val="both"/>
              <w:rPr>
                <w:bCs/>
                <w:color w:val="000000"/>
                <w:sz w:val="24"/>
                <w:szCs w:val="24"/>
              </w:rPr>
              <w:framePr w:hSpace="180" w:wrap="around" w:vAnchor="text" w:hAnchor="text" w:x="250" w:y="1"/>
            </w:pP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</w:tr>
    </w:tbl>
    <w:p>
      <w:pPr>
        <w:pStyle w:val="913"/>
        <w:jc w:val="center"/>
        <w:tabs>
          <w:tab w:val="left" w:pos="0" w:leader="none"/>
        </w:tabs>
        <w:rPr>
          <w:b/>
          <w:sz w:val="24"/>
          <w:szCs w:val="24"/>
        </w:rPr>
        <w:outlineLvl w:val="0"/>
      </w:pPr>
      <w:r>
        <w:rPr>
          <w:b/>
          <w:sz w:val="24"/>
          <w:szCs w:val="24"/>
        </w:rPr>
        <w:t xml:space="preserve">Извещение о проведении </w:t>
      </w:r>
      <w:r>
        <w:rPr>
          <w:b/>
          <w:sz w:val="24"/>
          <w:szCs w:val="24"/>
        </w:rPr>
        <w:t xml:space="preserve">конкурса</w:t>
      </w:r>
      <w:r>
        <w:rPr>
          <w:b/>
          <w:sz w:val="24"/>
          <w:szCs w:val="24"/>
        </w:rPr>
        <w:t xml:space="preserve"> в электронной форме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13"/>
        <w:ind w:firstLine="709"/>
        <w:jc w:val="center"/>
        <w:tabs>
          <w:tab w:val="left" w:pos="851" w:leader="none"/>
          <w:tab w:val="left" w:pos="1134" w:leader="none"/>
        </w:tabs>
        <w:rPr>
          <w:b/>
          <w:sz w:val="24"/>
          <w:szCs w:val="24"/>
        </w:rPr>
        <w:outlineLvl w:val="0"/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13"/>
        <w:ind w:right="-285" w:firstLine="567"/>
        <w:jc w:val="both"/>
        <w:tabs>
          <w:tab w:val="left" w:pos="851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Публичное акционерное общество «Россети Северо-Запада» </w:t>
      </w:r>
      <w:r>
        <w:rPr>
          <w:sz w:val="24"/>
          <w:szCs w:val="24"/>
        </w:rPr>
        <w:t xml:space="preserve">(далее - ПАО «</w:t>
      </w:r>
      <w:r>
        <w:rPr>
          <w:sz w:val="24"/>
          <w:szCs w:val="24"/>
        </w:rPr>
        <w:t xml:space="preserve">Россети Северо-Запад</w:t>
      </w:r>
      <w:r>
        <w:rPr>
          <w:sz w:val="24"/>
          <w:szCs w:val="24"/>
        </w:rPr>
        <w:t xml:space="preserve">», Заказчик), являющееся также Организатором закупки, настоящим приглашает к участию в </w:t>
      </w:r>
      <w:r>
        <w:rPr>
          <w:sz w:val="24"/>
          <w:szCs w:val="24"/>
        </w:rPr>
        <w:t xml:space="preserve">конкурсе</w:t>
      </w:r>
      <w:r>
        <w:rPr>
          <w:sz w:val="24"/>
          <w:szCs w:val="24"/>
        </w:rPr>
        <w:t xml:space="preserve"> в электронной форме </w:t>
      </w:r>
      <w:r>
        <w:rPr>
          <w:sz w:val="24"/>
          <w:szCs w:val="24"/>
        </w:rPr>
        <w:t xml:space="preserve">на право заключения договора по титулу: </w:t>
      </w:r>
      <w:r>
        <w:rPr>
          <w:b/>
          <w:bCs/>
          <w:sz w:val="24"/>
          <w:szCs w:val="24"/>
        </w:rPr>
        <w:t xml:space="preserve">25К7110010.0006/1. Оказание услуг по организации стратегических сессий, конференций, семинаров, рабочих совещаний и аналогичных мероприятий для нужд</w:t>
      </w:r>
      <w:r>
        <w:rPr>
          <w:b/>
          <w:bCs/>
          <w:sz w:val="24"/>
          <w:szCs w:val="24"/>
        </w:rPr>
        <w:t xml:space="preserve"> ПАО </w:t>
      </w:r>
      <w:r>
        <w:rPr>
          <w:b/>
          <w:bCs/>
          <w:sz w:val="24"/>
          <w:szCs w:val="24"/>
        </w:rPr>
        <w:t xml:space="preserve">«Россети Северо-Запад»</w:t>
      </w:r>
      <w:r>
        <w:rPr>
          <w:spacing w:val="-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(далее – </w:t>
      </w:r>
      <w:r>
        <w:rPr>
          <w:sz w:val="24"/>
          <w:szCs w:val="24"/>
        </w:rPr>
        <w:t xml:space="preserve">конкурс</w:t>
      </w:r>
      <w:r>
        <w:rPr>
          <w:spacing w:val="-2"/>
          <w:sz w:val="24"/>
          <w:szCs w:val="24"/>
        </w:rPr>
        <w:t xml:space="preserve">, </w:t>
      </w:r>
      <w:r>
        <w:rPr>
          <w:spacing w:val="-2"/>
          <w:sz w:val="24"/>
          <w:szCs w:val="24"/>
        </w:rPr>
        <w:t xml:space="preserve">з</w:t>
      </w:r>
      <w:r>
        <w:rPr>
          <w:spacing w:val="-2"/>
          <w:sz w:val="24"/>
          <w:szCs w:val="24"/>
        </w:rPr>
        <w:t xml:space="preserve">акупка)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65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111"/>
        <w:gridCol w:w="59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1"/>
        </w:trPr>
        <w:tc>
          <w:tcPr>
            <w:shd w:val="clear" w:color="auto" w:fill="f2f2f2"/>
            <w:tcW w:w="4111" w:type="dxa"/>
            <w:vAlign w:val="top"/>
            <w:textDirection w:val="lrTb"/>
            <w:noWrap w:val="false"/>
          </w:tcPr>
          <w:p>
            <w:pPr>
              <w:pStyle w:val="913"/>
              <w:ind w:hanging="13"/>
              <w:shd w:val="clear" w:color="f2f2f2" w:themeColor="background1" w:themeShade="F2" w:fill="f2f2f2" w:themeFill="background1" w:themeFillShade="F2"/>
              <w:tabs>
                <w:tab w:val="num" w:pos="205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Способ закупки, номер позиции Плана закупки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4" w:type="dxa"/>
            <w:vAlign w:val="top"/>
            <w:textDirection w:val="lrTb"/>
            <w:noWrap w:val="false"/>
          </w:tcPr>
          <w:p>
            <w:pPr>
              <w:pStyle w:val="9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bookmarkStart w:id="0" w:name="Par50"/>
            <w:r>
              <w:rPr>
                <w:sz w:val="24"/>
                <w:szCs w:val="24"/>
                <w:lang w:eastAsia="en-US"/>
              </w:rPr>
              <w:t xml:space="preserve">Конкурс в электронной форме.</w:t>
            </w:r>
            <w:bookmarkEnd w:id="0"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Номер позиции Плана закупки ПАО «Россети Северо-Запад» на 2025 год: </w:t>
            </w:r>
            <w:r>
              <w:rPr>
                <w:sz w:val="24"/>
                <w:szCs w:val="24"/>
                <w:lang w:eastAsia="en-US"/>
              </w:rPr>
              <w:t xml:space="preserve">131</w:t>
            </w:r>
            <w:r>
              <w:rPr>
                <w:sz w:val="24"/>
                <w:szCs w:val="24"/>
                <w:lang w:eastAsia="en-US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892"/>
        </w:trPr>
        <w:tc>
          <w:tcPr>
            <w:shd w:val="clear" w:color="auto" w:fill="f2f2f2"/>
            <w:tcW w:w="4111" w:type="dxa"/>
            <w:vAlign w:val="top"/>
            <w:textDirection w:val="lrTb"/>
            <w:noWrap w:val="false"/>
          </w:tcPr>
          <w:p>
            <w:pPr>
              <w:pStyle w:val="916"/>
              <w:ind w:hanging="13"/>
              <w:keepNext w:val="0"/>
              <w:spacing w:before="0" w:after="0"/>
              <w:shd w:val="clear" w:color="f2f2f2" w:themeColor="background1" w:themeShade="F2" w:fill="f2f2f2" w:themeFill="background1" w:themeFillShade="F2"/>
              <w:tabs>
                <w:tab w:val="num" w:pos="63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Наименование, место нахождения, почтовый адрес, адрес электронной почты, номер контактного телефона Заказчика и стороннего Организатора закупки (в случае его привлечения), ответственный за заключение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954" w:type="dxa"/>
            <w:vAlign w:val="top"/>
            <w:textDirection w:val="lrTb"/>
            <w:noWrap w:val="false"/>
          </w:tcPr>
          <w:p>
            <w:pPr>
              <w:jc w:val="both"/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Заказчика: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ПАО «Россети Северо-Запад»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Адрес местонахождения Заказчика: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196247, Россия, г. Санкт-Петербург, пл. Конституции д.3, литер А, пом. 16Н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Почтовый адрес Заказчика: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196247, Россия, г. Санкт-Петербург, площадь Конституции д.3, литер А, помещение 16Н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Контактное лицо: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hyperlink r:id="rId11" w:tooltip="https://phonebook.rosseti-sz.ru/pls/telephone/phone_mrsk.main?parID=-22867&amp;parATSID=3563&amp;parFocusedEmpID=-82161" w:history="1">
              <w:r>
                <w:rPr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Гильберг</w:t>
              </w:r>
              <w:r>
                <w:rPr>
                  <w:rFonts w:ascii="Times New Roman" w:hAnsi="Times New Roman" w:eastAsia="Times New Roman" w:cs="Times New Roman"/>
                  <w:sz w:val="24"/>
                  <w:szCs w:val="24"/>
                </w:rPr>
                <w:t xml:space="preserve"> Наталья Олеговна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Тел. (812) 305-10-10 доб. 347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 xml:space="preserve">e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 xml:space="preserve">mail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 </w:t>
            </w:r>
            <w:hyperlink r:id="rId12" w:tooltip="mailto:gilbergno@rosseti-sz.ru" w:history="1">
              <w:r>
                <w:rPr>
                  <w:rStyle w:val="895"/>
                  <w:rFonts w:ascii="Times New Roman" w:hAnsi="Times New Roman" w:eastAsia="Times New Roman" w:cs="Times New Roman"/>
                  <w:color w:val="0000ee"/>
                  <w:sz w:val="24"/>
                  <w:szCs w:val="24"/>
                  <w:highlight w:val="white"/>
                  <w:u w:val="single"/>
                </w:rPr>
                <w:t xml:space="preserve">gilbergno@rosseti-sz.ru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bookmarkStart w:id="0" w:name="undefined"/>
            <w:r>
              <w:rPr>
                <w:b/>
                <w:sz w:val="24"/>
                <w:szCs w:val="24"/>
              </w:rPr>
              <w:t xml:space="preserve">Ответственный за заключение договора: </w:t>
            </w:r>
            <w:bookmarkEnd w:id="0"/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омасова Юлия Александровна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  <w:p>
            <w:pPr>
              <w:jc w:val="both"/>
              <w:spacing w:after="0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Тел: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(812) 305-1010 доб 465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  <w:p>
            <w:pPr>
              <w:pStyle w:val="9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e-mail:</w:t>
            </w:r>
            <w:r>
              <w:rPr>
                <w:rStyle w:val="895"/>
                <w:rFonts w:ascii="Times New Roman" w:hAnsi="Times New Roman" w:eastAsia="Times New Roman" w:cs="Times New Roman"/>
                <w:color w:val="0000ee"/>
                <w:sz w:val="24"/>
                <w:szCs w:val="24"/>
                <w:highlight w:val="white"/>
                <w:u w:val="none"/>
              </w:rPr>
              <w:t xml:space="preserve"> </w:t>
            </w:r>
            <w:r>
              <w:rPr>
                <w:rStyle w:val="895"/>
                <w:rFonts w:ascii="Times New Roman" w:hAnsi="Times New Roman" w:eastAsia="Times New Roman" w:cs="Times New Roman"/>
                <w:color w:val="0000ee"/>
                <w:sz w:val="24"/>
                <w:szCs w:val="24"/>
                <w:highlight w:val="white"/>
                <w:u w:val="single"/>
              </w:rPr>
              <w:t xml:space="preserve">tomasovaja@rosseti-sz.ru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128"/>
        </w:trPr>
        <w:tc>
          <w:tcPr>
            <w:shd w:val="clear" w:color="auto" w:fill="f2f2f2"/>
            <w:tcW w:w="4111" w:type="dxa"/>
            <w:vAlign w:val="top"/>
            <w:textDirection w:val="lrTb"/>
            <w:noWrap w:val="false"/>
          </w:tcPr>
          <w:p>
            <w:pPr>
              <w:pStyle w:val="916"/>
              <w:ind w:hanging="13"/>
              <w:keepNext w:val="0"/>
              <w:spacing w:before="0" w:after="0"/>
              <w:shd w:val="clear" w:color="f2f2f2" w:themeColor="background1" w:themeShade="F2" w:fill="f2f2f2" w:themeFill="background1" w:themeFillShade="F2"/>
              <w:tabs>
                <w:tab w:val="num" w:pos="63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Предмет договора с указанием количества поставляемого товара/ объема выполняемой работы/ объема оказываемой услуги, а также краткое описание предмета закупки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954" w:type="dxa"/>
            <w:vAlign w:val="top"/>
            <w:textDirection w:val="lrTb"/>
            <w:noWrap w:val="false"/>
          </w:tcPr>
          <w:p>
            <w:pPr>
              <w:pStyle w:val="913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Предмет договора: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 xml:space="preserve">25К7110010.0006/1. Оказание услуг по организации стратегических сессий, конференций, семинаров, рабочих совещаний и аналогичных мероприятий для нужд</w:t>
            </w:r>
            <w:r>
              <w:rPr>
                <w:b w:val="0"/>
                <w:bCs w:val="0"/>
                <w:sz w:val="24"/>
                <w:szCs w:val="24"/>
              </w:rPr>
              <w:t xml:space="preserve"> ПАО </w:t>
            </w:r>
            <w:r>
              <w:rPr>
                <w:b w:val="0"/>
                <w:bCs w:val="0"/>
                <w:sz w:val="24"/>
                <w:szCs w:val="24"/>
              </w:rPr>
              <w:t xml:space="preserve">«Россети Северо-Запад»</w:t>
            </w:r>
            <w:r>
              <w:rPr>
                <w:b w:val="0"/>
                <w:bCs w:val="0"/>
                <w:sz w:val="24"/>
                <w:szCs w:val="24"/>
              </w:rPr>
              <w:t xml:space="preserve">.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pStyle w:val="913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поставляемого товара/объем выполняемой работы/объем оказываемой услуги и описание предмета закупки в соответствии с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"https://www.consultant.ru/document/cons_doc_LAW_116964/fddec0f5c16a67f6fca41f9e31dfb0dcc72cc49a/" \l "dst199" \o "https://www.consultant.ru/document/cons_doc_LAW_116964/fddec0f5c16a67f6fca41f9e31dfb0dcc72cc49a/#dst199"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color w:val="0000ff"/>
                <w:sz w:val="24"/>
                <w:szCs w:val="24"/>
                <w:u w:val="single"/>
              </w:rPr>
              <w:t xml:space="preserve">частью 6.1 статьи 3 Закона 223-ФЗ</w:t>
            </w:r>
            <w:r>
              <w:rPr>
                <w:color w:val="0000ff"/>
                <w:sz w:val="24"/>
                <w:szCs w:val="24"/>
                <w:u w:val="single"/>
              </w:rPr>
              <w:fldChar w:fldCharType="end"/>
            </w:r>
            <w:r>
              <w:rPr>
                <w:sz w:val="24"/>
                <w:szCs w:val="24"/>
              </w:rPr>
              <w:t xml:space="preserve"> установлено в части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\l "_ТЕХНИЧЕСКАЯ_ЧАСТЬ" \o "#_ТЕХНИЧЕСКАЯ_ЧАСТЬ"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color w:val="0000ff"/>
                <w:sz w:val="24"/>
                <w:szCs w:val="24"/>
                <w:u w:val="single"/>
                <w:lang w:val="en-US"/>
              </w:rPr>
              <w:t xml:space="preserve">V</w:t>
            </w:r>
            <w:r>
              <w:rPr>
                <w:color w:val="0000ff"/>
                <w:sz w:val="24"/>
                <w:szCs w:val="24"/>
                <w:u w:val="single"/>
              </w:rPr>
              <w:t xml:space="preserve"> «Техническая часть»</w:t>
            </w:r>
            <w:r>
              <w:rPr>
                <w:color w:val="0000ff"/>
                <w:sz w:val="24"/>
                <w:szCs w:val="24"/>
                <w:u w:val="single"/>
              </w:rPr>
              <w:fldChar w:fldCharType="end"/>
            </w:r>
            <w:r>
              <w:rPr>
                <w:sz w:val="24"/>
                <w:szCs w:val="24"/>
              </w:rPr>
              <w:t xml:space="preserve"> извещения о закупке. Все указания в настоящем извещении о закупке на товарные знаки, знаки обслуживания, фирменные наименования, патенты, полезные модели, промышленные образцы, наименование страны происхождения товара читать со словами «или эквивалент».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96"/>
        </w:trPr>
        <w:tc>
          <w:tcPr>
            <w:shd w:val="clear" w:color="auto" w:fill="f2f2f2"/>
            <w:tcW w:w="4111" w:type="dxa"/>
            <w:vAlign w:val="top"/>
            <w:textDirection w:val="lrTb"/>
            <w:noWrap w:val="false"/>
          </w:tcPr>
          <w:p>
            <w:pPr>
              <w:pStyle w:val="916"/>
              <w:ind w:hanging="13"/>
              <w:keepNext w:val="0"/>
              <w:spacing w:before="0" w:after="0"/>
              <w:shd w:val="clear" w:color="f2f2f2" w:themeColor="background1" w:themeShade="F2" w:fill="f2f2f2" w:themeFill="background1" w:themeFillShade="F2"/>
              <w:tabs>
                <w:tab w:val="num" w:pos="63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Место поставки товара/ выполнения работы/ оказания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954" w:type="dxa"/>
            <w:vAlign w:val="top"/>
            <w:textDirection w:val="lrTb"/>
            <w:noWrap w:val="false"/>
          </w:tcPr>
          <w:p>
            <w:pPr>
              <w:pStyle w:val="913"/>
              <w:jc w:val="both"/>
              <w:rPr>
                <w:b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В соответствии с частью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\l "_ФОРМА_15._Справка" \o "#_ФОРМА_15._Справка"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Style w:val="920"/>
                <w:sz w:val="24"/>
                <w:szCs w:val="24"/>
              </w:rPr>
              <w:t xml:space="preserve">IV «Проект договора»</w:t>
            </w:r>
            <w:r>
              <w:rPr>
                <w:rStyle w:val="920"/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и части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\l "_ТЕХНИЧЕСКАЯ_ЧАСТЬ" \o "#_ТЕХНИЧЕСКАЯ_ЧАСТЬ"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Style w:val="920"/>
                <w:sz w:val="24"/>
                <w:szCs w:val="24"/>
              </w:rPr>
              <w:t xml:space="preserve">V «Техническая часть»</w:t>
            </w:r>
            <w:r>
              <w:rPr>
                <w:rStyle w:val="920"/>
                <w:sz w:val="24"/>
                <w:szCs w:val="24"/>
              </w:rPr>
              <w:fldChar w:fldCharType="end"/>
            </w:r>
            <w:r>
              <w:rPr>
                <w:rStyle w:val="92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настоящей документации о закупке.</w:t>
            </w:r>
            <w:r>
              <w:rPr>
                <w:b/>
                <w:sz w:val="24"/>
                <w:szCs w:val="24"/>
                <w:highlight w:val="yellow"/>
              </w:rPr>
            </w:r>
            <w:r>
              <w:rPr>
                <w:b/>
                <w:sz w:val="24"/>
                <w:szCs w:val="24"/>
                <w:highlight w:val="yellow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3"/>
        </w:trPr>
        <w:tc>
          <w:tcPr>
            <w:shd w:val="clear" w:color="auto" w:fill="f2f2f2"/>
            <w:tcW w:w="4111" w:type="dxa"/>
            <w:vAlign w:val="top"/>
            <w:textDirection w:val="lrTb"/>
            <w:noWrap w:val="false"/>
          </w:tcPr>
          <w:p>
            <w:pPr>
              <w:pStyle w:val="916"/>
              <w:ind w:hanging="13"/>
              <w:keepNext w:val="0"/>
              <w:spacing w:before="0" w:after="0"/>
              <w:shd w:val="clear" w:color="f2f2f2" w:themeColor="background1" w:themeShade="F2" w:fill="f2f2f2" w:themeFill="background1" w:themeFillShade="F2"/>
              <w:tabs>
                <w:tab w:val="num" w:pos="63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Сроки поставки товара/ выполнения работ/оказания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954" w:type="dxa"/>
            <w:vAlign w:val="top"/>
            <w:textDirection w:val="lrTb"/>
            <w:noWrap w:val="false"/>
          </w:tcPr>
          <w:p>
            <w:pPr>
              <w:pStyle w:val="9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соответствии с частью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\l "_ФОРМА_15._Справка" \o "#_ФОРМА_15._Справка"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Style w:val="920"/>
                <w:sz w:val="24"/>
                <w:szCs w:val="24"/>
              </w:rPr>
              <w:t xml:space="preserve">IV «Проект договора»</w:t>
            </w:r>
            <w:r>
              <w:rPr>
                <w:rStyle w:val="920"/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и частью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\l "_ТЕХНИЧЕСКАЯ_ЧАСТЬ" \o "#_ТЕХНИЧЕСКАЯ_ЧАСТЬ"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Style w:val="920"/>
                <w:sz w:val="24"/>
                <w:szCs w:val="24"/>
              </w:rPr>
              <w:t xml:space="preserve">V «Техническая часть»</w:t>
            </w:r>
            <w:r>
              <w:rPr>
                <w:rStyle w:val="920"/>
                <w:sz w:val="24"/>
                <w:szCs w:val="24"/>
              </w:rPr>
              <w:fldChar w:fldCharType="end"/>
            </w:r>
            <w:r>
              <w:rPr>
                <w:rStyle w:val="92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настоящей документации о закупке.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71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11" w:type="dxa"/>
            <w:vAlign w:val="top"/>
            <w:textDirection w:val="lrTb"/>
            <w:noWrap w:val="false"/>
          </w:tcPr>
          <w:p>
            <w:pPr>
              <w:pStyle w:val="916"/>
              <w:ind w:hanging="13"/>
              <w:keepNext w:val="0"/>
              <w:spacing w:before="0" w:after="0"/>
              <w:shd w:val="clear" w:color="f2f2f2" w:themeColor="background1" w:themeShade="F2" w:fill="f2f2f2" w:themeFill="background1" w:themeFillShade="F2"/>
              <w:tabs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Форма, сроки и порядок оплаты товара, работы, услуги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top"/>
            <w:textDirection w:val="lrTb"/>
            <w:noWrap w:val="false"/>
          </w:tcPr>
          <w:p>
            <w:pPr>
              <w:pStyle w:val="9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соответствии с частью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\l "_ФОРМА_15._Справка" \o "#_ФОРМА_15._Справка"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Style w:val="920"/>
                <w:sz w:val="24"/>
                <w:szCs w:val="24"/>
              </w:rPr>
              <w:t xml:space="preserve">IV «Проект договора»</w:t>
            </w:r>
            <w:r>
              <w:rPr>
                <w:rStyle w:val="920"/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настоящей документации о закупке.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13"/>
              <w:jc w:val="both"/>
              <w:rPr>
                <w:i/>
                <w:color w:val="ff000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*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i/>
                <w:color w:val="ff0000"/>
                <w:sz w:val="24"/>
                <w:szCs w:val="24"/>
              </w:rPr>
              <w:t xml:space="preserve">Обращаем внимание цена, указанная в заявке должна включать в себя НДС по ставке 20%, независимо от того какую систему налогообложения применяет участник заку</w:t>
            </w:r>
            <w:r>
              <w:rPr>
                <w:i/>
                <w:color w:val="ff0000"/>
                <w:sz w:val="24"/>
                <w:szCs w:val="24"/>
              </w:rPr>
              <w:t xml:space="preserve">пки. Так как в проекте договора предусмотрено обязательно включение в цену договора НДС в размере 20%. Данный пункт договора не подлежит изменению не зависимо от системы налогообложения участника, т.е. от цены предложенной участником будет выделен НДС. При</w:t>
            </w:r>
            <w:r>
              <w:rPr>
                <w:i/>
                <w:color w:val="ff0000"/>
                <w:sz w:val="24"/>
                <w:szCs w:val="24"/>
              </w:rPr>
              <w:t xml:space="preserve"> этом проект договора предусматривает возможность Поставщика/Исполнителя/Подрядчика отказаться от выставления счета-фактуры с выделением НДС, тогда сумма к уплате по договору будет рассчитана от цены договора/единицы продукции за вычетом НДС в размере 20%.</w:t>
            </w:r>
            <w:r>
              <w:rPr>
                <w:i/>
                <w:color w:val="ff0000"/>
                <w:sz w:val="24"/>
                <w:szCs w:val="24"/>
              </w:rPr>
            </w:r>
            <w:r>
              <w:rPr>
                <w:i/>
                <w:color w:val="ff0000"/>
                <w:sz w:val="24"/>
                <w:szCs w:val="24"/>
              </w:rPr>
            </w:r>
          </w:p>
          <w:p>
            <w:pPr>
              <w:pStyle w:val="913"/>
              <w:jc w:val="both"/>
              <w:rPr>
                <w:sz w:val="24"/>
                <w:szCs w:val="24"/>
              </w:rPr>
            </w:pPr>
            <w:r>
              <w:rPr>
                <w:i/>
                <w:color w:val="ff0000"/>
                <w:sz w:val="24"/>
                <w:szCs w:val="24"/>
              </w:rPr>
              <w:t xml:space="preserve">Освобождение от исполнения обязанностей налогоплательщика НДС в установленном законом порядке или применение упрощенной системы налогообложения не отменяет право выставления счета фактуры с выделенным НДС согласно пункту 5 статьи 173 НК РФ.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83"/>
        </w:trPr>
        <w:tc>
          <w:tcPr>
            <w:shd w:val="clear" w:color="auto" w:fill="f2f2f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4111" w:type="dxa"/>
            <w:vAlign w:val="top"/>
            <w:textDirection w:val="lrTb"/>
            <w:noWrap w:val="false"/>
          </w:tcPr>
          <w:p>
            <w:pPr>
              <w:pStyle w:val="916"/>
              <w:ind w:hanging="13"/>
              <w:keepNext w:val="0"/>
              <w:spacing w:before="0" w:after="0"/>
              <w:shd w:val="clear" w:color="f2f2f2" w:themeColor="background1" w:themeShade="F2" w:fill="f2f2f2" w:themeFill="background1" w:themeFillShade="F2"/>
              <w:tabs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Сведения о начальной (максимальной) цене договора (цене лота), либо формула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top"/>
            <w:textDirection w:val="lrTb"/>
            <w:noWrap w:val="false"/>
          </w:tcPr>
          <w:p>
            <w:pPr>
              <w:jc w:val="both"/>
              <w:spacing w:after="0"/>
              <w:tabs>
                <w:tab w:val="left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Обоснование начальной (максимальной) цены договора </w:t>
            </w:r>
            <w:r>
              <w:rPr>
                <w:sz w:val="24"/>
                <w:szCs w:val="24"/>
              </w:rPr>
              <w:t xml:space="preserve">(цены лота) </w:t>
            </w:r>
            <w:r>
              <w:rPr>
                <w:sz w:val="24"/>
                <w:szCs w:val="24"/>
              </w:rPr>
              <w:t xml:space="preserve">приведено в части</w:t>
            </w:r>
            <w:r>
              <w:rPr>
                <w:sz w:val="24"/>
                <w:szCs w:val="24"/>
              </w:rPr>
              <w:t xml:space="preserve"> </w:t>
            </w:r>
            <w:hyperlink w:tooltip="#_ОБОСНОВАНИЕ_НАЧАЛЬНОЙ_(МАКСИМАЛЬНОЙ" w:anchor="_ОБОСНОВАНИЕ_НАЧАЛЬНОЙ_(МАКСИМАЛЬНОЙ" w:history="1">
              <w:r>
                <w:rPr>
                  <w:color w:val="0000ff"/>
                  <w:sz w:val="24"/>
                  <w:szCs w:val="24"/>
                  <w:u w:val="single"/>
                </w:rPr>
                <w:t xml:space="preserve">VI «Обоснование начальной (максимальной» цены договора»</w:t>
              </w:r>
            </w:hyperlink>
            <w:r>
              <w:rPr>
                <w:sz w:val="24"/>
                <w:szCs w:val="24"/>
              </w:rPr>
              <w:t xml:space="preserve"> настоящей документации о закупке.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pacing w:after="0"/>
              <w:tabs>
                <w:tab w:val="left" w:pos="708" w:leader="none"/>
              </w:tabs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Начальная (максимальная) цена договора (цена лота) составляет: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21 000 000,00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руб</w:t>
            </w:r>
            <w:r>
              <w:rPr>
                <w:b/>
                <w:sz w:val="24"/>
                <w:szCs w:val="24"/>
              </w:rPr>
              <w:t xml:space="preserve">.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  <w:p>
            <w:pPr>
              <w:jc w:val="both"/>
              <w:spacing w:after="0"/>
              <w:tabs>
                <w:tab w:val="left" w:pos="708" w:leader="none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13"/>
              <w:spacing w:before="60"/>
              <w:tabs>
                <w:tab w:val="left" w:pos="708" w:leader="none"/>
              </w:tabs>
              <w:rPr>
                <w:b/>
                <w:bCs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 xml:space="preserve">Начальная (максимальная) цена договора является максимальным значением цены договора.</w:t>
            </w:r>
            <w:r>
              <w:rPr>
                <w:b/>
                <w:bCs/>
                <w:u w:val="single"/>
              </w:rPr>
            </w:r>
            <w:r>
              <w:rPr>
                <w:b/>
                <w:bCs/>
                <w:u w:val="single"/>
              </w:rPr>
            </w:r>
          </w:p>
          <w:p>
            <w:pPr>
              <w:jc w:val="both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deeaf6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13"/>
              <w:jc w:val="both"/>
              <w:spacing w:before="60"/>
              <w:tabs>
                <w:tab w:val="left" w:pos="708" w:leader="none"/>
              </w:tabs>
              <w:rPr>
                <w:b/>
                <w:bCs/>
                <w:color w:val="ff0000"/>
                <w:u w:val="single"/>
              </w:rPr>
            </w:pPr>
            <w:r>
              <w:rPr>
                <w:b/>
                <w:bCs/>
                <w:color w:val="ff0000"/>
                <w:sz w:val="24"/>
                <w:szCs w:val="24"/>
                <w:u w:val="single"/>
              </w:rPr>
              <w:t xml:space="preserve">При </w:t>
            </w:r>
            <w:r>
              <w:rPr>
                <w:b/>
                <w:color w:val="ff0000"/>
                <w:sz w:val="24"/>
                <w:szCs w:val="24"/>
                <w:u w:val="single"/>
              </w:rPr>
              <w:t xml:space="preserve">подаче заявок предложение о цене договора должно соответствовать начальной (максимальной) цене договора. Заявки оцениваются исходя из размера а</w:t>
            </w:r>
            <w:r>
              <w:rPr>
                <w:b/>
                <w:color w:val="ff0000"/>
                <w:sz w:val="24"/>
                <w:szCs w:val="24"/>
                <w:u w:val="single"/>
              </w:rPr>
              <w:t xml:space="preserve">гентского</w:t>
            </w:r>
            <w:r>
              <w:rPr>
                <w:b/>
                <w:color w:val="ff0000"/>
                <w:sz w:val="24"/>
                <w:szCs w:val="24"/>
                <w:u w:val="single"/>
              </w:rPr>
              <w:t xml:space="preserve"> вознаграждени</w:t>
            </w:r>
            <w:r>
              <w:rPr>
                <w:b/>
                <w:color w:val="ff0000"/>
                <w:sz w:val="24"/>
                <w:szCs w:val="24"/>
                <w:u w:val="single"/>
              </w:rPr>
              <w:t xml:space="preserve">я (</w:t>
            </w:r>
            <w:r>
              <w:rPr>
                <w:b/>
                <w:color w:val="ff0000"/>
                <w:sz w:val="24"/>
                <w:szCs w:val="24"/>
                <w:u w:val="single"/>
              </w:rPr>
              <w:t xml:space="preserve">% от стоимости оказанных услуг</w:t>
            </w:r>
            <w:r>
              <w:rPr>
                <w:b/>
                <w:color w:val="ff0000"/>
                <w:sz w:val="24"/>
                <w:szCs w:val="24"/>
                <w:u w:val="single"/>
              </w:rPr>
              <w:t xml:space="preserve">)</w:t>
            </w:r>
            <w:r>
              <w:rPr>
                <w:b/>
                <w:color w:val="ff0000"/>
                <w:sz w:val="24"/>
                <w:szCs w:val="24"/>
                <w:u w:val="single"/>
              </w:rPr>
              <w:t xml:space="preserve"> в соответствии с приложением 1 части II «Информационная карта закупки» документации о закупке.</w:t>
            </w:r>
            <w:r>
              <w:rPr>
                <w:b/>
                <w:bCs/>
                <w:color w:val="ff0000"/>
                <w:u w:val="single"/>
              </w:rPr>
            </w:r>
            <w:r>
              <w:rPr>
                <w:b/>
                <w:bCs/>
                <w:color w:val="ff0000"/>
                <w:u w:val="single"/>
              </w:rPr>
            </w:r>
          </w:p>
          <w:p>
            <w:pPr>
              <w:jc w:val="both"/>
              <w:spacing w:after="0"/>
              <w:rPr>
                <w:sz w:val="24"/>
                <w:szCs w:val="24"/>
                <w:shd w:val="clear" w:color="auto" w:fill="deeaf6"/>
              </w:rPr>
            </w:pPr>
            <w:r>
              <w:rPr>
                <w:sz w:val="24"/>
                <w:szCs w:val="24"/>
                <w:shd w:val="clear" w:color="auto" w:fill="deeaf6"/>
              </w:rPr>
            </w:r>
            <w:r>
              <w:rPr>
                <w:sz w:val="24"/>
                <w:szCs w:val="24"/>
                <w:shd w:val="clear" w:color="auto" w:fill="deeaf6"/>
              </w:rPr>
            </w:r>
            <w:r>
              <w:rPr>
                <w:sz w:val="24"/>
                <w:szCs w:val="24"/>
                <w:shd w:val="clear" w:color="auto" w:fill="deeaf6"/>
              </w:rPr>
            </w:r>
          </w:p>
          <w:p>
            <w:pPr>
              <w:jc w:val="both"/>
              <w:spacing w:after="0"/>
              <w:tabs>
                <w:tab w:val="left" w:pos="708" w:leader="none"/>
              </w:tabs>
              <w:rPr>
                <w:bCs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</w:t>
            </w:r>
            <w:r>
              <w:rPr>
                <w:sz w:val="24"/>
                <w:szCs w:val="24"/>
              </w:rPr>
      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  <w:r>
              <w:rPr>
                <w:bCs/>
                <w:color w:val="ff0000"/>
                <w:sz w:val="24"/>
                <w:szCs w:val="24"/>
              </w:rPr>
            </w:r>
            <w:r>
              <w:rPr>
                <w:bCs/>
                <w:color w:val="ff0000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960"/>
        </w:trPr>
        <w:tc>
          <w:tcPr>
            <w:shd w:val="clear" w:color="auto" w:fill="f2f2f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4111" w:type="dxa"/>
            <w:vAlign w:val="top"/>
            <w:textDirection w:val="lrTb"/>
            <w:noWrap w:val="false"/>
          </w:tcPr>
          <w:p>
            <w:pPr>
              <w:pStyle w:val="916"/>
              <w:ind w:hanging="13"/>
              <w:keepNext w:val="0"/>
              <w:spacing w:before="0" w:after="0"/>
              <w:shd w:val="clear" w:color="f2f2f2" w:themeColor="background1" w:themeShade="F2" w:fill="f2f2f2" w:themeFill="background1" w:themeFillShade="F2"/>
              <w:tabs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Срок, место и порядок предоста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вления документации о закупке, размер, порядок и сроки внесения платы, взимаемой Заказчиком за предоставление документации, если такая плата установлена Заказчиком, за исключением случаев предоставления документации о закупке в форме электронного документа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4" w:type="dxa"/>
            <w:vAlign w:val="top"/>
            <w:textDirection w:val="lrTb"/>
            <w:noWrap w:val="false"/>
          </w:tcPr>
          <w:p>
            <w:pPr>
              <w:pStyle w:val="916"/>
              <w:jc w:val="both"/>
              <w:keepNext w:val="0"/>
              <w:spacing w:before="0" w:after="0"/>
              <w:tabs>
                <w:tab w:val="left" w:pos="708" w:leader="none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instrText xml:space="preserve"> HYPERLINK "https://zakupki.gov.ru/epz/main/public/home.html" \o "https://zakupki.gov.ru/epz/main/public/home.html" </w:instrTex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separate"/>
            </w:r>
            <w:r>
              <w:rPr>
                <w:rStyle w:val="920"/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www.zakupki.gov.ru</w:t>
            </w:r>
            <w:r>
              <w:rPr>
                <w:rStyle w:val="920"/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fldChar w:fldCharType="end"/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, а также на сайте ЭТП, указанном в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instrText xml:space="preserve"> HYPERLINK \l "_Адрес_электронной_площадки" \o "#_Адрес_электронной_площадки" </w:instrTex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fldChar w:fldCharType="separate"/>
            </w:r>
            <w:r>
              <w:rPr>
                <w:rStyle w:val="920"/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п. 10 настоящей информационной карты</w:t>
            </w:r>
            <w:r>
              <w:rPr>
                <w:rStyle w:val="920"/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fldChar w:fldCharType="end"/>
            </w:r>
            <w:r>
              <w:rPr>
                <w:rStyle w:val="920"/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 закупки документации о закупке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. Срок начала предостав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ления документации о закупке с момента публикации извещения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.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456"/>
        </w:trPr>
        <w:tc>
          <w:tcPr>
            <w:shd w:val="clear" w:color="auto" w:fill="f2f2f2"/>
            <w:tcBorders>
              <w:top w:val="single" w:color="000000" w:sz="4" w:space="0"/>
            </w:tcBorders>
            <w:tcW w:w="4111" w:type="dxa"/>
            <w:vAlign w:val="top"/>
            <w:textDirection w:val="lrTb"/>
            <w:noWrap w:val="false"/>
          </w:tcPr>
          <w:p>
            <w:pPr>
              <w:pStyle w:val="916"/>
              <w:ind w:hanging="13"/>
              <w:keepNext w:val="0"/>
              <w:spacing w:before="0" w:after="0"/>
              <w:shd w:val="clear" w:color="f2f2f2" w:themeColor="background1" w:themeShade="F2" w:fill="f2f2f2" w:themeFill="background1" w:themeFillShade="F2"/>
              <w:tabs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закупки).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  <w:p>
            <w:pPr>
              <w:pStyle w:val="916"/>
              <w:ind w:hanging="13"/>
              <w:keepNext w:val="0"/>
              <w:spacing w:before="0" w:after="0"/>
              <w:shd w:val="clear" w:color="f2f2f2" w:themeColor="background1" w:themeShade="F2" w:fill="f2f2f2" w:themeFill="background1" w:themeFillShade="F2"/>
              <w:tabs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Дата рассмотрения предложений участников такой закупки и подведения итогов такой закупки, Дата и время окончания срока предоставления участникам закупки разъяснений положений документации о закупке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5954" w:type="dxa"/>
            <w:vAlign w:val="top"/>
            <w:textDirection w:val="lrTb"/>
            <w:noWrap w:val="false"/>
          </w:tcPr>
          <w:p>
            <w:pPr>
              <w:pStyle w:val="753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Применяются следующие этапы: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53"/>
              <w:numPr>
                <w:ilvl w:val="0"/>
                <w:numId w:val="22"/>
              </w:numPr>
              <w:ind w:left="0" w:firstLine="0"/>
              <w:jc w:val="both"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Р</w:t>
            </w:r>
            <w:r>
              <w:rPr>
                <w:sz w:val="24"/>
                <w:szCs w:val="24"/>
              </w:rPr>
              <w:t xml:space="preserve">ассм</w:t>
            </w:r>
            <w:r>
              <w:rPr>
                <w:sz w:val="24"/>
                <w:szCs w:val="24"/>
              </w:rPr>
              <w:t xml:space="preserve">отрение </w:t>
            </w:r>
            <w:r>
              <w:rPr>
                <w:sz w:val="24"/>
                <w:szCs w:val="24"/>
              </w:rPr>
              <w:t xml:space="preserve">общих</w:t>
            </w:r>
            <w:r>
              <w:rPr>
                <w:sz w:val="24"/>
                <w:szCs w:val="24"/>
              </w:rPr>
              <w:t xml:space="preserve"> частей заяв</w:t>
            </w:r>
            <w:r>
              <w:rPr>
                <w:sz w:val="24"/>
                <w:szCs w:val="24"/>
              </w:rPr>
              <w:t xml:space="preserve">ок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  <w:p>
            <w:pPr>
              <w:pStyle w:val="753"/>
              <w:numPr>
                <w:ilvl w:val="0"/>
                <w:numId w:val="22"/>
              </w:numPr>
              <w:ind w:left="0" w:firstLine="0"/>
              <w:jc w:val="both"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Переторжка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  <w:p>
            <w:pPr>
              <w:pStyle w:val="753"/>
              <w:numPr>
                <w:ilvl w:val="0"/>
                <w:numId w:val="22"/>
              </w:numPr>
              <w:ind w:left="0" w:firstLine="0"/>
              <w:jc w:val="both"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  <w:t xml:space="preserve">одведение итогов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  <w:p>
            <w:pPr>
              <w:pStyle w:val="95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Заявка подается в электронной форме с использованием функционала и в соответствии с Регламентом работы ЭТП.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 xml:space="preserve">Дата начала срока подачи заявок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: «28» марта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2025 года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 xml:space="preserve">Дата и время окончания срока предоставления участникам закупки разъяснений положений документации о закупке: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«14» апреля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202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5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года 13:59 (время московское)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 xml:space="preserve">Дата и время окончания срока, последний день срока подачи Заявок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: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«14» апреля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202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5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года 14:00 (время московское)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 xml:space="preserve">Рассмотрение общих частей заявок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: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Дата нач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ала проведения этапа: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с момента направления оператором ЭТП заказчику общих частей заявок;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Дата проведения этапа: «17» апреля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202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5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года.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Переторжка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 (по решению закупочной комиссии):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r>
          </w:p>
          <w:p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Дата начала проведения этапа: с момента публикации в ЕИС протокола рассмотрения общих частей заявок.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Срок проведения переторжки: не менее 24 (двадцати четырех) часов.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cyan"/>
              </w:rPr>
            </w:pPr>
            <w:r>
              <w:rPr>
                <w:b/>
              </w:rPr>
              <w:t xml:space="preserve">Шаг переторжки</w:t>
            </w:r>
            <w:r>
              <w:t xml:space="preserve">:</w:t>
            </w:r>
            <w:r>
              <w:t xml:space="preserve"> </w:t>
            </w:r>
            <w:r>
              <w:t xml:space="preserve">0.1 </w:t>
            </w:r>
            <w:r>
              <w:t xml:space="preserve">усл.</w:t>
            </w:r>
            <w:r>
              <w:t xml:space="preserve"> ед.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cyan"/>
              </w:rPr>
            </w:r>
          </w:p>
          <w:p>
            <w:pPr>
              <w:jc w:val="both"/>
              <w:spacing w:after="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 xml:space="preserve">Подведение итогов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: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953"/>
              <w:jc w:val="both"/>
              <w:rPr>
                <w:b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 xml:space="preserve">Дата проведения этапа: «21» апреля </w:t>
            </w:r>
            <w:r>
              <w:rPr>
                <w:color w:val="auto"/>
                <w:sz w:val="24"/>
                <w:szCs w:val="24"/>
                <w:lang w:eastAsia="ru-RU"/>
              </w:rPr>
              <w:t xml:space="preserve">202</w:t>
            </w:r>
            <w:r>
              <w:rPr>
                <w:color w:val="auto"/>
                <w:sz w:val="24"/>
                <w:szCs w:val="24"/>
                <w:lang w:eastAsia="ru-RU"/>
              </w:rPr>
              <w:t xml:space="preserve">5</w:t>
            </w:r>
            <w:r>
              <w:rPr>
                <w:color w:val="auto"/>
                <w:sz w:val="24"/>
                <w:szCs w:val="24"/>
                <w:lang w:eastAsia="ru-RU"/>
              </w:rPr>
              <w:t xml:space="preserve"> года.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51"/>
        </w:trPr>
        <w:tc>
          <w:tcPr>
            <w:shd w:val="clear" w:color="auto" w:fill="f2f2f2"/>
            <w:tcBorders>
              <w:top w:val="single" w:color="000000" w:sz="4" w:space="0"/>
            </w:tcBorders>
            <w:tcW w:w="4111" w:type="dxa"/>
            <w:vAlign w:val="top"/>
            <w:textDirection w:val="lrTb"/>
            <w:noWrap w:val="false"/>
          </w:tcPr>
          <w:p>
            <w:pPr>
              <w:pStyle w:val="916"/>
              <w:ind w:hanging="13"/>
              <w:keepNext w:val="0"/>
              <w:spacing w:before="0" w:after="0"/>
              <w:shd w:val="clear" w:color="f2f2f2" w:themeColor="background1" w:themeShade="F2" w:fill="f2f2f2" w:themeFill="background1" w:themeFillShade="F2"/>
              <w:tabs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Адрес электронной площадки в сети «Интернет»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5954" w:type="dxa"/>
            <w:vAlign w:val="top"/>
            <w:textDirection w:val="lrTb"/>
            <w:noWrap w:val="false"/>
          </w:tcPr>
          <w:p>
            <w:pPr>
              <w:pStyle w:val="9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Сайт электронной торговой площадки: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13"/>
              <w:jc w:val="both"/>
              <w:rPr>
                <w:b/>
                <w:sz w:val="24"/>
                <w:szCs w:val="24"/>
              </w:rPr>
            </w:pPr>
            <w:r>
              <w:rPr>
                <w:rStyle w:val="920"/>
                <w:sz w:val="24"/>
                <w:szCs w:val="24"/>
              </w:rPr>
              <w:fldChar w:fldCharType="begin"/>
            </w:r>
            <w:r>
              <w:rPr>
                <w:rStyle w:val="920"/>
                <w:sz w:val="24"/>
                <w:szCs w:val="24"/>
              </w:rPr>
              <w:instrText xml:space="preserve"> HYPERLINK "https://tender.lot-online.ru" </w:instrText>
            </w:r>
            <w:r>
              <w:rPr>
                <w:rStyle w:val="920"/>
                <w:sz w:val="24"/>
                <w:szCs w:val="24"/>
              </w:rPr>
              <w:fldChar w:fldCharType="separate"/>
            </w:r>
            <w:r>
              <w:rPr>
                <w:rStyle w:val="920"/>
                <w:sz w:val="24"/>
                <w:szCs w:val="24"/>
              </w:rPr>
              <w:t xml:space="preserve">https://tender.lot-online.ru</w:t>
            </w:r>
            <w:r>
              <w:rPr>
                <w:rStyle w:val="920"/>
                <w:sz w:val="24"/>
                <w:szCs w:val="24"/>
              </w:rPr>
              <w:fldChar w:fldCharType="end"/>
            </w:r>
            <w:r>
              <w:rPr>
                <w:rStyle w:val="920"/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83"/>
        </w:trPr>
        <w:tc>
          <w:tcPr>
            <w:shd w:val="clear" w:color="auto" w:fill="f2f2f2"/>
            <w:tcBorders>
              <w:top w:val="single" w:color="000000" w:sz="4" w:space="0"/>
            </w:tcBorders>
            <w:tcW w:w="4111" w:type="dxa"/>
            <w:vAlign w:val="top"/>
            <w:textDirection w:val="lrTb"/>
            <w:noWrap w:val="false"/>
          </w:tcPr>
          <w:p>
            <w:pPr>
              <w:pStyle w:val="916"/>
              <w:ind w:hanging="13"/>
              <w:keepNext w:val="0"/>
              <w:spacing w:before="0" w:after="0"/>
              <w:shd w:val="clear" w:color="f2f2f2" w:themeColor="background1" w:themeShade="F2" w:fill="f2f2f2" w:themeFill="background1" w:themeFillShade="F2"/>
              <w:tabs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Размер обеспечения заявок на участие в закупке, порядок, срок и случаи возврата такого обеспечения и иные требования к такому обеспечению, в том числе условия банковской гарантии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5954" w:type="dxa"/>
            <w:vAlign w:val="top"/>
            <w:textDirection w:val="lrTb"/>
            <w:noWrap w:val="false"/>
          </w:tcPr>
          <w:p>
            <w:pPr>
              <w:jc w:val="both"/>
              <w:spacing w:after="0"/>
              <w:rPr>
                <w:rFonts w:eastAsia="Calibri"/>
                <w:sz w:val="24"/>
                <w:szCs w:val="24"/>
                <w:highlight w:val="cyan"/>
                <w14:ligatures w14:val="none"/>
              </w:rPr>
            </w:pPr>
            <w:r>
              <w:rPr>
                <w:rFonts w:eastAsia="Calibri"/>
                <w:sz w:val="24"/>
                <w:szCs w:val="24"/>
                <w:highlight w:val="cyan"/>
                <w:lang w:eastAsia="en-US"/>
              </w:rPr>
              <w:t xml:space="preserve">С</w:t>
            </w:r>
            <w:r>
              <w:rPr>
                <w:rFonts w:eastAsia="Calibri"/>
                <w:sz w:val="24"/>
                <w:szCs w:val="24"/>
                <w:highlight w:val="cyan"/>
                <w:lang w:eastAsia="en-US"/>
              </w:rPr>
              <w:t xml:space="preserve">у</w:t>
            </w:r>
            <w:r>
              <w:rPr>
                <w:rFonts w:eastAsia="Calibri"/>
                <w:sz w:val="24"/>
                <w:szCs w:val="24"/>
                <w:highlight w:val="cyan"/>
                <w:lang w:eastAsia="en-US"/>
              </w:rPr>
              <w:t xml:space="preserve">мма обеспечения заявки предусмотрена в размере </w:t>
            </w:r>
            <w:r>
              <w:rPr>
                <w:rFonts w:eastAsia="Calibri"/>
                <w:b/>
                <w:bCs/>
                <w:sz w:val="24"/>
                <w:szCs w:val="24"/>
                <w:highlight w:val="cyan"/>
                <w:lang w:eastAsia="en-US"/>
              </w:rPr>
              <w:t xml:space="preserve">5</w:t>
            </w:r>
            <w:r>
              <w:rPr>
                <w:rFonts w:eastAsia="Calibri"/>
                <w:b/>
                <w:bCs/>
                <w:sz w:val="24"/>
                <w:szCs w:val="24"/>
                <w:highlight w:val="cyan"/>
                <w:lang w:eastAsia="en-US"/>
              </w:rPr>
              <w:t xml:space="preserve"> </w:t>
            </w:r>
            <w:r>
              <w:rPr>
                <w:rFonts w:eastAsia="Calibri"/>
                <w:b/>
                <w:sz w:val="24"/>
                <w:szCs w:val="24"/>
                <w:highlight w:val="cyan"/>
                <w:lang w:eastAsia="en-US"/>
              </w:rPr>
              <w:t xml:space="preserve">% от начальной (максимальной) цены договора </w:t>
            </w:r>
            <w:r>
              <w:rPr>
                <w:rFonts w:eastAsia="Calibri"/>
                <w:b/>
                <w:bCs/>
                <w:sz w:val="24"/>
                <w:szCs w:val="24"/>
                <w:highlight w:val="cyan"/>
                <w:lang w:eastAsia="en-US"/>
              </w:rPr>
              <w:t xml:space="preserve">в случае предоставления обеспечения в форме </w:t>
            </w:r>
            <w:r>
              <w:rPr>
                <w:rFonts w:eastAsia="Calibri"/>
                <w:b/>
                <w:bCs/>
                <w:sz w:val="24"/>
                <w:szCs w:val="24"/>
                <w:highlight w:val="cyan"/>
                <w:lang w:eastAsia="en-US"/>
              </w:rPr>
              <w:t xml:space="preserve">независимой гарантии</w:t>
            </w:r>
            <w:r>
              <w:rPr>
                <w:rFonts w:eastAsia="Calibri"/>
                <w:sz w:val="24"/>
                <w:szCs w:val="24"/>
                <w:highlight w:val="cyan"/>
                <w:lang w:eastAsia="en-US"/>
              </w:rPr>
              <w:t xml:space="preserve">, что составляет </w:t>
            </w:r>
            <w:r>
              <w:rPr>
                <w:rFonts w:eastAsia="Calibri"/>
                <w:b/>
                <w:bCs/>
                <w:sz w:val="24"/>
                <w:szCs w:val="24"/>
                <w:highlight w:val="cyan"/>
                <w:lang w:eastAsia="en-US"/>
              </w:rPr>
              <w:t xml:space="preserve">1 050 000,00 руб.</w:t>
            </w:r>
            <w:r>
              <w:rPr>
                <w:rFonts w:eastAsia="Calibri"/>
                <w:sz w:val="24"/>
                <w:szCs w:val="24"/>
                <w:highlight w:val="cyan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highlight w:val="cyan"/>
                <w:lang w:eastAsia="en-US"/>
              </w:rPr>
              <w:t xml:space="preserve"> (НДС не облагается).</w:t>
            </w:r>
            <w:r>
              <w:rPr>
                <w:rFonts w:eastAsia="Calibri"/>
                <w:sz w:val="24"/>
                <w:szCs w:val="24"/>
                <w:highlight w:val="cyan"/>
                <w14:ligatures w14:val="none"/>
              </w:rPr>
            </w:r>
            <w:r>
              <w:rPr>
                <w:rFonts w:eastAsia="Calibri"/>
                <w:sz w:val="24"/>
                <w:szCs w:val="24"/>
                <w:highlight w:val="cyan"/>
                <w14:ligatures w14:val="none"/>
              </w:rPr>
            </w:r>
          </w:p>
          <w:p>
            <w:pPr>
              <w:jc w:val="both"/>
              <w:spacing w:after="0"/>
              <w:rPr>
                <w:rFonts w:eastAsia="Calibri"/>
                <w:sz w:val="24"/>
                <w:szCs w:val="24"/>
                <w:highlight w:val="cyan"/>
              </w:rPr>
            </w:pPr>
            <w:r>
              <w:rPr>
                <w:rFonts w:eastAsia="Calibri"/>
                <w:sz w:val="24"/>
                <w:szCs w:val="24"/>
                <w:highlight w:val="cyan"/>
                <w:lang w:eastAsia="en-US"/>
              </w:rPr>
              <w:t xml:space="preserve">Сумма обеспечения заявки предусмотрена в размере </w:t>
            </w:r>
            <w:r>
              <w:rPr>
                <w:rFonts w:eastAsia="Calibri"/>
                <w:b/>
                <w:bCs/>
                <w:sz w:val="24"/>
                <w:szCs w:val="24"/>
                <w:highlight w:val="cyan"/>
                <w:lang w:eastAsia="en-US"/>
              </w:rPr>
              <w:t xml:space="preserve">2 </w:t>
            </w:r>
            <w:r>
              <w:rPr>
                <w:rFonts w:eastAsia="Calibri"/>
                <w:b/>
                <w:sz w:val="24"/>
                <w:szCs w:val="24"/>
                <w:highlight w:val="cyan"/>
                <w:lang w:eastAsia="en-US"/>
              </w:rPr>
              <w:t xml:space="preserve">% от начальной (максимальной) цены договора </w:t>
            </w:r>
            <w:r>
              <w:rPr>
                <w:rFonts w:eastAsia="Calibri"/>
                <w:b/>
                <w:sz w:val="24"/>
                <w:szCs w:val="24"/>
                <w:highlight w:val="cyan"/>
                <w:lang w:eastAsia="en-US"/>
              </w:rPr>
              <w:t xml:space="preserve">в случае предоставления обеспечения </w:t>
            </w:r>
            <w:r>
              <w:rPr>
                <w:b/>
                <w:bCs/>
                <w:sz w:val="24"/>
                <w:szCs w:val="24"/>
                <w:highlight w:val="cyan"/>
              </w:rPr>
              <w:t xml:space="preserve">в форме внесения денежных средств</w:t>
            </w:r>
            <w:r>
              <w:rPr>
                <w:rFonts w:eastAsia="Calibri"/>
                <w:sz w:val="24"/>
                <w:szCs w:val="24"/>
                <w:highlight w:val="cyan"/>
                <w:lang w:eastAsia="en-US"/>
              </w:rPr>
              <w:t xml:space="preserve">, что составляет </w:t>
            </w:r>
            <w:r>
              <w:rPr>
                <w:rFonts w:eastAsia="Calibri"/>
                <w:b/>
                <w:bCs/>
                <w:sz w:val="24"/>
                <w:szCs w:val="24"/>
                <w:highlight w:val="cyan"/>
                <w:lang w:eastAsia="en-US"/>
              </w:rPr>
              <w:t xml:space="preserve">420</w:t>
            </w:r>
            <w:r>
              <w:rPr>
                <w:rFonts w:eastAsia="Calibri"/>
                <w:b/>
                <w:bCs/>
                <w:sz w:val="24"/>
                <w:szCs w:val="24"/>
                <w:highlight w:val="cyan"/>
                <w:lang w:eastAsia="en-US"/>
              </w:rPr>
              <w:t xml:space="preserve"> 000,00 ру</w:t>
            </w:r>
            <w:r>
              <w:rPr>
                <w:rFonts w:eastAsia="Calibri"/>
                <w:b/>
                <w:sz w:val="24"/>
                <w:szCs w:val="24"/>
                <w:highlight w:val="cyan"/>
                <w:lang w:eastAsia="en-US"/>
              </w:rPr>
              <w:t xml:space="preserve">б. </w:t>
            </w:r>
            <w:r>
              <w:rPr>
                <w:rFonts w:eastAsia="Calibri"/>
                <w:sz w:val="24"/>
                <w:szCs w:val="24"/>
                <w:highlight w:val="cyan"/>
                <w:lang w:eastAsia="en-US"/>
              </w:rPr>
              <w:t xml:space="preserve"> (НДС не облагается).</w:t>
            </w:r>
            <w:r>
              <w:rPr>
                <w:rFonts w:eastAsia="Calibri"/>
                <w:sz w:val="24"/>
                <w:szCs w:val="24"/>
                <w:highlight w:val="cyan"/>
              </w:rPr>
            </w:r>
            <w:r>
              <w:rPr>
                <w:rFonts w:eastAsia="Calibri"/>
                <w:sz w:val="24"/>
                <w:szCs w:val="24"/>
                <w:highlight w:val="cyan"/>
              </w:rPr>
            </w:r>
          </w:p>
          <w:p>
            <w:pPr>
              <w:jc w:val="both"/>
              <w:spacing w:after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Обеспечение заявки может быть представлено в форме внесения денежных средств или в форме независимой гарантии. Выбор способа обеспечения заявки на участие в закупке осуществляется участником закупки самостоятельно.</w:t>
            </w:r>
            <w:r>
              <w:rPr>
                <w:rFonts w:eastAsia="Calibri"/>
                <w:bCs/>
                <w:sz w:val="24"/>
                <w:szCs w:val="24"/>
              </w:rPr>
            </w:r>
            <w:r>
              <w:rPr>
                <w:rFonts w:eastAsia="Calibri"/>
                <w:bCs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 случае выбора способа обеспечения заявки в форме внесения денежных средств на счет Заказчика, денежные средства вносятся на следующий счет: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Получатель: Публичное Акционерное Общество «Россети Северо-Запад»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Место нахождения: Россия, 196247, город Санкт-Петербург, площадь Конституции, дом 3, литер А, помещение 16Н 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ИНН 7802312751 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КПП 997650001 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ОГРН 1047855175785 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ОКПО 74824610 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Банковские реквизиты: р/сч 40702810539000005887 в Ф. ОПЕРУ Банка ВТБ (ПАО) в Санкт-Петербурге г. Санкт-Петербург 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к/сч 30101810200000000704 в ГРКЦ ГУ Банка России по г. Санкт-Петербургу БИК 044030704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 платежном поручении в графе «назначение платежа» необходимо указать «Обеспечение заявки на участие в закупке (реестровый номер закупки в ЕИС)».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Порядок, срок и случаи возврата такого обеспечения и иные требования к такому обеспечению, в том числе условия независимой гарантии установлены в </w:t>
            </w:r>
            <w:hyperlink w:tooltip="#_Требования_к_обеспечению" w:anchor="_Требования_к_обеспечению" w:history="1">
              <w:r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 xml:space="preserve">п. 3.6. Требования к обеспечению заявок на участие в закупке части I «ОБЩИЕ УСЛОВИЯ ПРОВЕДЕНИЯ ЗАКУПКИ».</w:t>
              </w:r>
            </w:hyperlink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83"/>
        </w:trPr>
        <w:tc>
          <w:tcPr>
            <w:shd w:val="clear" w:color="ffffff" w:fill="f2f2f2"/>
            <w:tcBorders>
              <w:top w:val="single" w:color="000000" w:sz="4" w:space="0"/>
            </w:tcBorders>
            <w:tcW w:w="4111" w:type="dxa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after="0"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Информация об установлении запрета / ограничения закупки работ, услуг, соответственно выполняемых, оказываемых иностранными лицами установлены в соответствии с </w:t>
            </w:r>
            <w:hyperlink r:id="rId13" w:tooltip="https://www.consultant.ru/document/cons_doc_LAW_494318/92d969e26a4326c5d02fa79b8f9cf4994ee5633b/" w:history="1">
              <w:r>
                <w:rPr>
                  <w:sz w:val="24"/>
                  <w:szCs w:val="24"/>
                </w:rPr>
                <w:t xml:space="preserve">постановлением </w:t>
              </w:r>
              <w:r>
                <w:rPr>
                  <w:rFonts w:eastAsia="Calibri"/>
                  <w:color w:val="0000ff"/>
                  <w:sz w:val="24"/>
                  <w:szCs w:val="24"/>
                  <w:u w:val="single"/>
                  <w:lang w:eastAsia="en-US"/>
                </w:rPr>
                <w:t xml:space="preserve">Правительства РФ от 23.12.2024 № 1875</w:t>
              </w:r>
            </w:hyperlink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</w:tcBorders>
            <w:tcW w:w="5954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spacing w:after="0"/>
              <w:rPr>
                <w:rFonts w:eastAsia="Calibri"/>
                <w:sz w:val="24"/>
                <w:szCs w:val="24"/>
                <w:highlight w:val="darkRed"/>
              </w:rPr>
            </w:pPr>
            <w:r>
              <w:rPr>
                <w:rFonts w:eastAsia="Calibri"/>
                <w:sz w:val="24"/>
                <w:szCs w:val="24"/>
                <w:highlight w:val="darkRed"/>
                <w:lang w:eastAsia="en-US"/>
              </w:rPr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Информация об установлении запрета или ограничения в соответствии с требованиями </w:t>
            </w:r>
            <w:hyperlink r:id="rId14" w:tooltip="https://www.consultant.ru/document/cons_doc_LAW_494318/92d969e26a4326c5d02fa79b8f9cf4994ee5633b/" w:history="1">
              <w:r>
                <w:rPr>
                  <w:rFonts w:eastAsia="Calibri"/>
                  <w:sz w:val="24"/>
                  <w:szCs w:val="24"/>
                  <w:lang w:eastAsia="en-US"/>
                </w:rPr>
                <w:t xml:space="preserve">постановления Правительства РФ от 23.12.2024 № 1875</w:t>
              </w:r>
            </w:hyperlink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указана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в части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hyperlink w:tooltip="#_ТЕХНИЧЕСКАЯ_ЧАСТЬ" w:anchor="_ТЕХНИЧЕСКАЯ_ЧАСТЬ" w:history="1">
              <w:r>
                <w:rPr>
                  <w:rFonts w:eastAsia="Calibri"/>
                  <w:sz w:val="24"/>
                  <w:szCs w:val="24"/>
                  <w:lang w:eastAsia="en-US"/>
                </w:rPr>
                <w:t xml:space="preserve">V «Техническая часть»</w:t>
              </w:r>
            </w:hyperlink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настоящей документации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о закупке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.</w:t>
            </w:r>
            <w:r>
              <w:rPr>
                <w:rFonts w:eastAsia="Calibri"/>
                <w:sz w:val="24"/>
                <w:szCs w:val="24"/>
                <w:highlight w:val="darkRed"/>
              </w:rPr>
            </w:r>
            <w:r>
              <w:rPr>
                <w:rFonts w:eastAsia="Calibri"/>
                <w:sz w:val="24"/>
                <w:szCs w:val="24"/>
                <w:highlight w:val="darkRed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55"/>
        </w:trPr>
        <w:tc>
          <w:tcPr>
            <w:shd w:val="clear" w:color="auto" w:fill="f2f2f2"/>
            <w:tcW w:w="4111" w:type="dxa"/>
            <w:vAlign w:val="top"/>
            <w:textDirection w:val="lrTb"/>
            <w:noWrap w:val="false"/>
          </w:tcPr>
          <w:p>
            <w:pPr>
              <w:pStyle w:val="953"/>
              <w:ind w:hanging="13"/>
              <w:shd w:val="clear" w:color="f2f2f2" w:themeColor="background1" w:themeShade="F2" w:fill="f2f2f2" w:themeFill="background1" w:themeFillShade="F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сведения, определенные Положением о закупке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954" w:type="dxa"/>
            <w:vAlign w:val="top"/>
            <w:textDirection w:val="lrTb"/>
            <w:noWrap w:val="false"/>
          </w:tcPr>
          <w:p>
            <w:pPr>
              <w:pStyle w:val="953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Остальные и более подробные условия проведения закупки содержатся в документации о закупке.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851" w:right="850" w:bottom="1134" w:left="1276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6"/>
      <w:rPr>
        <w:rStyle w:val="927"/>
      </w:rPr>
      <w:framePr w:wrap="around" w:vAnchor="text" w:hAnchor="margin" w:xAlign="right" w:y="1"/>
    </w:pPr>
    <w:r>
      <w:rPr>
        <w:rStyle w:val="927"/>
      </w:rPr>
      <w:fldChar w:fldCharType="begin"/>
    </w:r>
    <w:r>
      <w:rPr>
        <w:rStyle w:val="927"/>
      </w:rPr>
      <w:instrText xml:space="preserve">PAGE  </w:instrText>
    </w:r>
    <w:r>
      <w:rPr>
        <w:rStyle w:val="927"/>
      </w:rPr>
      <w:fldChar w:fldCharType="separate"/>
    </w:r>
    <w:r>
      <w:rPr>
        <w:rStyle w:val="927"/>
      </w:rPr>
      <w:t xml:space="preserve">4</w:t>
    </w:r>
    <w:r>
      <w:rPr>
        <w:rStyle w:val="927"/>
      </w:rPr>
      <w:fldChar w:fldCharType="end"/>
    </w:r>
    <w:r>
      <w:rPr>
        <w:rStyle w:val="927"/>
      </w:rPr>
    </w:r>
    <w:r>
      <w:rPr>
        <w:rStyle w:val="927"/>
      </w:rPr>
    </w:r>
  </w:p>
  <w:p>
    <w:pPr>
      <w:pStyle w:val="926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6"/>
      <w:rPr>
        <w:rStyle w:val="927"/>
      </w:rPr>
      <w:framePr w:wrap="around" w:vAnchor="text" w:hAnchor="margin" w:xAlign="right" w:y="1"/>
    </w:pPr>
    <w:r>
      <w:rPr>
        <w:rStyle w:val="927"/>
      </w:rPr>
      <w:fldChar w:fldCharType="begin"/>
    </w:r>
    <w:r>
      <w:rPr>
        <w:rStyle w:val="927"/>
      </w:rPr>
      <w:instrText xml:space="preserve">PAGE  </w:instrText>
    </w:r>
    <w:r>
      <w:rPr>
        <w:rStyle w:val="927"/>
      </w:rPr>
      <w:fldChar w:fldCharType="end"/>
    </w:r>
    <w:r>
      <w:rPr>
        <w:rStyle w:val="927"/>
      </w:rPr>
    </w:r>
    <w:r>
      <w:rPr>
        <w:rStyle w:val="927"/>
      </w:rPr>
    </w:r>
  </w:p>
  <w:p>
    <w:pPr>
      <w:pStyle w:val="926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4014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661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7668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9675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1322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332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976" w:hanging="180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  <w:rPr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  <w:rPr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  <w:rPr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  <w:rPr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  <w:rPr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  <w:rPr>
        <w:b/>
      </w:rPr>
    </w:lvl>
  </w:abstractNum>
  <w:abstractNum w:abstractNumId="5">
    <w:multiLevelType w:val="hybridMultilevel"/>
    <w:lvl w:ilvl="0">
      <w:start w:val="6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384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40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732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92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080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272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280" w:hanging="180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  <w:rPr>
        <w:b w:val="0"/>
        <w:i w:val="0"/>
        <w:color w:val="000000"/>
        <w:sz w:val="24"/>
        <w:szCs w:val="24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10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3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980" w:hanging="1080"/>
      </w:pPr>
    </w:lvl>
    <w:lvl w:ilvl="4">
      <w:start w:val="1"/>
      <w:numFmt w:val="thaiNumbers"/>
      <w:isLgl w:val="false"/>
      <w:suff w:val="tab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560" w:hanging="2160"/>
      </w:pPr>
    </w:lvl>
  </w:abstractNum>
  <w:abstractNum w:abstractNumId="8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38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40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3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8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23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280" w:hanging="180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firstLine="567"/>
        <w:tabs>
          <w:tab w:val="num" w:pos="1134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56" w:hanging="708"/>
        <w:tabs>
          <w:tab w:val="num" w:pos="708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cs="Times New Roman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49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2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67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40" w:hanging="2160"/>
      </w:pPr>
    </w:lvl>
  </w:abstractNum>
  <w:abstractNum w:abstractNumId="12">
    <w:multiLevelType w:val="hybridMultilevel"/>
    <w:lvl w:ilvl="0">
      <w:start w:val="1"/>
      <w:numFmt w:val="decimal"/>
      <w:pStyle w:val="914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pStyle w:val="915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pStyle w:val="922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pStyle w:val="923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pStyle w:val="924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ascii="Times New Roman" w:hAnsi="Times New Roman" w:cs="Times New Roman"/>
        <w:b w:val="0"/>
        <w:bCs w:val="0"/>
        <w:i w:val="0"/>
        <w:iCs w:val="0"/>
        <w:color w:val="00000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thaiNumbers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9.%1."/>
      <w:lvlJc w:val="left"/>
      <w:pPr>
        <w:ind w:left="2007" w:hanging="360"/>
        <w:tabs>
          <w:tab w:val="num" w:pos="0" w:leader="none"/>
        </w:tabs>
      </w:pPr>
      <w:rPr>
        <w:rFonts w:ascii="Times New Roman" w:hAnsi="Times New Roman" w:cs="Times New Roman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885" w:hanging="885"/>
      </w:pPr>
    </w:lvl>
    <w:lvl w:ilvl="1">
      <w:start w:val="1"/>
      <w:numFmt w:val="decimal"/>
      <w:isLgl w:val="false"/>
      <w:suff w:val="tab"/>
      <w:lvlText w:val="%1.%2."/>
      <w:lvlJc w:val="left"/>
      <w:pPr>
        <w:ind w:left="1005" w:hanging="885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25" w:hanging="885"/>
      </w:pPr>
    </w:lvl>
    <w:lvl w:ilvl="3">
      <w:start w:val="1"/>
      <w:numFmt w:val="thaiNumbers"/>
      <w:isLgl w:val="false"/>
      <w:suff w:val="tab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isLgl w:val="false"/>
      <w:suff w:val="tab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52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64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120" w:hanging="216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  <w:tabs>
          <w:tab w:val="num" w:pos="150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  <w:tabs>
          <w:tab w:val="num" w:pos="222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  <w:tabs>
          <w:tab w:val="num" w:pos="294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  <w:tabs>
          <w:tab w:val="num" w:pos="366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  <w:tabs>
          <w:tab w:val="num" w:pos="438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  <w:tabs>
          <w:tab w:val="num" w:pos="510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  <w:tabs>
          <w:tab w:val="num" w:pos="582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  <w:tabs>
          <w:tab w:val="num" w:pos="6540" w:leader="none"/>
        </w:tabs>
      </w:pPr>
      <w:rPr>
        <w:rFonts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  <w:rPr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  <w:rPr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  <w:rPr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  <w:rPr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  <w:rPr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  <w:rPr>
        <w:b/>
      </w:rPr>
    </w:lvl>
  </w:abstractNum>
  <w:abstractNum w:abstractNumId="19">
    <w:multiLevelType w:val="hybridMultilevel"/>
    <w:lvl w:ilvl="0">
      <w:start w:val="1"/>
      <w:numFmt w:val="decimal"/>
      <w:pStyle w:val="949"/>
      <w:isLgl w:val="false"/>
      <w:suff w:val="tab"/>
      <w:lvlText w:val="%1."/>
      <w:lvlJc w:val="center"/>
      <w:pPr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951"/>
      <w:isLgl w:val="false"/>
      <w:suff w:val="tab"/>
      <w:lvlText w:val="%1.%2"/>
      <w:lvlJc w:val="left"/>
      <w:pPr>
        <w:ind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950"/>
      <w:isLgl w:val="false"/>
      <w:suff w:val="tab"/>
      <w:lvlText w:val="%1.%2.%3"/>
      <w:lvlJc w:val="left"/>
      <w:pPr>
        <w:ind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952"/>
      <w:isLgl w:val="false"/>
      <w:suff w:val="tab"/>
      <w:lvlText w:val="%5)"/>
      <w:lvlJc w:val="left"/>
      <w:pPr>
        <w:ind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num w:numId="1">
    <w:abstractNumId w:val="12"/>
  </w:num>
  <w:num w:numId="2">
    <w:abstractNumId w:val="6"/>
  </w:num>
  <w:num w:numId="3">
    <w:abstractNumId w:val="14"/>
  </w:num>
  <w:num w:numId="4">
    <w:abstractNumId w:val="17"/>
  </w:num>
  <w:num w:numId="5">
    <w:abstractNumId w:val="1"/>
  </w:num>
  <w:num w:numId="6">
    <w:abstractNumId w:val="2"/>
  </w:num>
  <w:num w:numId="7">
    <w:abstractNumId w:val="15"/>
  </w:num>
  <w:num w:numId="8">
    <w:abstractNumId w:val="10"/>
  </w:num>
  <w:num w:numId="9">
    <w:abstractNumId w:val="3"/>
  </w:num>
  <w:num w:numId="10">
    <w:abstractNumId w:val="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8"/>
  </w:num>
  <w:num w:numId="14">
    <w:abstractNumId w:val="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9"/>
  </w:num>
  <w:num w:numId="17">
    <w:abstractNumId w:val="11"/>
  </w:num>
  <w:num w:numId="18">
    <w:abstractNumId w:val="7"/>
  </w:num>
  <w:num w:numId="19">
    <w:abstractNumId w:val="4"/>
  </w:num>
  <w:num w:numId="20">
    <w:abstractNumId w:val="18"/>
  </w:num>
  <w:num w:numId="21">
    <w:abstractNumId w:val="13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5">
    <w:name w:val="Heading 1"/>
    <w:basedOn w:val="913"/>
    <w:next w:val="913"/>
    <w:link w:val="73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36">
    <w:name w:val="Heading 1 Char"/>
    <w:link w:val="735"/>
    <w:uiPriority w:val="9"/>
    <w:rPr>
      <w:rFonts w:ascii="Arial" w:hAnsi="Arial" w:eastAsia="Arial" w:cs="Arial"/>
      <w:sz w:val="40"/>
      <w:szCs w:val="40"/>
    </w:rPr>
  </w:style>
  <w:style w:type="paragraph" w:styleId="737">
    <w:name w:val="Heading 2"/>
    <w:basedOn w:val="913"/>
    <w:next w:val="913"/>
    <w:link w:val="73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38">
    <w:name w:val="Heading 2 Char"/>
    <w:link w:val="737"/>
    <w:uiPriority w:val="9"/>
    <w:rPr>
      <w:rFonts w:ascii="Arial" w:hAnsi="Arial" w:eastAsia="Arial" w:cs="Arial"/>
      <w:sz w:val="34"/>
    </w:rPr>
  </w:style>
  <w:style w:type="paragraph" w:styleId="739">
    <w:name w:val="Heading 3"/>
    <w:basedOn w:val="913"/>
    <w:next w:val="913"/>
    <w:link w:val="74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40">
    <w:name w:val="Heading 3 Char"/>
    <w:link w:val="739"/>
    <w:uiPriority w:val="9"/>
    <w:rPr>
      <w:rFonts w:ascii="Arial" w:hAnsi="Arial" w:eastAsia="Arial" w:cs="Arial"/>
      <w:sz w:val="30"/>
      <w:szCs w:val="30"/>
    </w:rPr>
  </w:style>
  <w:style w:type="paragraph" w:styleId="741">
    <w:name w:val="Heading 4"/>
    <w:basedOn w:val="913"/>
    <w:next w:val="913"/>
    <w:link w:val="74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2">
    <w:name w:val="Heading 4 Char"/>
    <w:link w:val="741"/>
    <w:uiPriority w:val="9"/>
    <w:rPr>
      <w:rFonts w:ascii="Arial" w:hAnsi="Arial" w:eastAsia="Arial" w:cs="Arial"/>
      <w:b/>
      <w:bCs/>
      <w:sz w:val="26"/>
      <w:szCs w:val="26"/>
    </w:rPr>
  </w:style>
  <w:style w:type="paragraph" w:styleId="743">
    <w:name w:val="Heading 5"/>
    <w:basedOn w:val="913"/>
    <w:next w:val="913"/>
    <w:link w:val="74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4">
    <w:name w:val="Heading 5 Char"/>
    <w:link w:val="743"/>
    <w:uiPriority w:val="9"/>
    <w:rPr>
      <w:rFonts w:ascii="Arial" w:hAnsi="Arial" w:eastAsia="Arial" w:cs="Arial"/>
      <w:b/>
      <w:bCs/>
      <w:sz w:val="24"/>
      <w:szCs w:val="24"/>
    </w:rPr>
  </w:style>
  <w:style w:type="paragraph" w:styleId="745">
    <w:name w:val="Heading 6"/>
    <w:basedOn w:val="913"/>
    <w:next w:val="913"/>
    <w:link w:val="74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6">
    <w:name w:val="Heading 6 Char"/>
    <w:link w:val="745"/>
    <w:uiPriority w:val="9"/>
    <w:rPr>
      <w:rFonts w:ascii="Arial" w:hAnsi="Arial" w:eastAsia="Arial" w:cs="Arial"/>
      <w:b/>
      <w:bCs/>
      <w:sz w:val="22"/>
      <w:szCs w:val="22"/>
    </w:rPr>
  </w:style>
  <w:style w:type="paragraph" w:styleId="747">
    <w:name w:val="Heading 7"/>
    <w:basedOn w:val="913"/>
    <w:next w:val="913"/>
    <w:link w:val="74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8">
    <w:name w:val="Heading 7 Char"/>
    <w:link w:val="74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49">
    <w:name w:val="Heading 8"/>
    <w:basedOn w:val="913"/>
    <w:next w:val="913"/>
    <w:link w:val="75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50">
    <w:name w:val="Heading 8 Char"/>
    <w:link w:val="749"/>
    <w:uiPriority w:val="9"/>
    <w:rPr>
      <w:rFonts w:ascii="Arial" w:hAnsi="Arial" w:eastAsia="Arial" w:cs="Arial"/>
      <w:i/>
      <w:iCs/>
      <w:sz w:val="22"/>
      <w:szCs w:val="22"/>
    </w:rPr>
  </w:style>
  <w:style w:type="paragraph" w:styleId="751">
    <w:name w:val="Heading 9"/>
    <w:basedOn w:val="913"/>
    <w:next w:val="913"/>
    <w:link w:val="75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2">
    <w:name w:val="Heading 9 Char"/>
    <w:link w:val="751"/>
    <w:uiPriority w:val="9"/>
    <w:rPr>
      <w:rFonts w:ascii="Arial" w:hAnsi="Arial" w:eastAsia="Arial" w:cs="Arial"/>
      <w:i/>
      <w:iCs/>
      <w:sz w:val="21"/>
      <w:szCs w:val="21"/>
    </w:rPr>
  </w:style>
  <w:style w:type="paragraph" w:styleId="753">
    <w:name w:val="List Paragraph"/>
    <w:basedOn w:val="913"/>
    <w:uiPriority w:val="34"/>
    <w:qFormat/>
    <w:pPr>
      <w:contextualSpacing/>
      <w:ind w:left="720"/>
    </w:pPr>
  </w:style>
  <w:style w:type="paragraph" w:styleId="754">
    <w:name w:val="No Spacing"/>
    <w:uiPriority w:val="1"/>
    <w:qFormat/>
    <w:pPr>
      <w:spacing w:before="0" w:after="0" w:line="240" w:lineRule="auto"/>
    </w:pPr>
  </w:style>
  <w:style w:type="paragraph" w:styleId="755">
    <w:name w:val="Title"/>
    <w:basedOn w:val="913"/>
    <w:next w:val="913"/>
    <w:link w:val="75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6">
    <w:name w:val="Title Char"/>
    <w:link w:val="755"/>
    <w:uiPriority w:val="10"/>
    <w:rPr>
      <w:sz w:val="48"/>
      <w:szCs w:val="48"/>
    </w:rPr>
  </w:style>
  <w:style w:type="paragraph" w:styleId="757">
    <w:name w:val="Subtitle"/>
    <w:basedOn w:val="913"/>
    <w:next w:val="913"/>
    <w:link w:val="758"/>
    <w:uiPriority w:val="11"/>
    <w:qFormat/>
    <w:pPr>
      <w:spacing w:before="200" w:after="200"/>
    </w:pPr>
    <w:rPr>
      <w:sz w:val="24"/>
      <w:szCs w:val="24"/>
    </w:rPr>
  </w:style>
  <w:style w:type="character" w:styleId="758">
    <w:name w:val="Subtitle Char"/>
    <w:link w:val="757"/>
    <w:uiPriority w:val="11"/>
    <w:rPr>
      <w:sz w:val="24"/>
      <w:szCs w:val="24"/>
    </w:rPr>
  </w:style>
  <w:style w:type="paragraph" w:styleId="759">
    <w:name w:val="Quote"/>
    <w:basedOn w:val="913"/>
    <w:next w:val="913"/>
    <w:link w:val="760"/>
    <w:uiPriority w:val="29"/>
    <w:qFormat/>
    <w:pPr>
      <w:ind w:left="720" w:right="720"/>
    </w:pPr>
    <w:rPr>
      <w:i/>
    </w:rPr>
  </w:style>
  <w:style w:type="character" w:styleId="760">
    <w:name w:val="Quote Char"/>
    <w:link w:val="759"/>
    <w:uiPriority w:val="29"/>
    <w:rPr>
      <w:i/>
    </w:rPr>
  </w:style>
  <w:style w:type="paragraph" w:styleId="761">
    <w:name w:val="Intense Quote"/>
    <w:basedOn w:val="913"/>
    <w:next w:val="913"/>
    <w:link w:val="76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2">
    <w:name w:val="Intense Quote Char"/>
    <w:link w:val="761"/>
    <w:uiPriority w:val="30"/>
    <w:rPr>
      <w:i/>
    </w:rPr>
  </w:style>
  <w:style w:type="paragraph" w:styleId="763">
    <w:name w:val="Header"/>
    <w:basedOn w:val="913"/>
    <w:link w:val="76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4">
    <w:name w:val="Header Char"/>
    <w:link w:val="763"/>
    <w:uiPriority w:val="99"/>
  </w:style>
  <w:style w:type="paragraph" w:styleId="765">
    <w:name w:val="Footer"/>
    <w:basedOn w:val="913"/>
    <w:link w:val="76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6">
    <w:name w:val="Footer Char"/>
    <w:link w:val="765"/>
    <w:uiPriority w:val="99"/>
  </w:style>
  <w:style w:type="paragraph" w:styleId="767">
    <w:name w:val="Caption"/>
    <w:basedOn w:val="913"/>
    <w:next w:val="913"/>
    <w:link w:val="76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8">
    <w:name w:val="Caption Char"/>
    <w:link w:val="767"/>
    <w:uiPriority w:val="35"/>
    <w:rPr>
      <w:b/>
      <w:bCs/>
      <w:color w:val="4f81bd" w:themeColor="accent1"/>
      <w:sz w:val="18"/>
      <w:szCs w:val="18"/>
    </w:rPr>
  </w:style>
  <w:style w:type="table" w:styleId="769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0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1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2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3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4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6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8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9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0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1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2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3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4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0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0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0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0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1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11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1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1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1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1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8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3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4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5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6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7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8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9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0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6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6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7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6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7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7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7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7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74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5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6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7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8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9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0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1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2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3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4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5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6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7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8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9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90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91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92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3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4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5">
    <w:name w:val="Hyperlink"/>
    <w:uiPriority w:val="99"/>
    <w:unhideWhenUsed/>
    <w:rPr>
      <w:color w:val="0000ff" w:themeColor="hyperlink"/>
      <w:u w:val="single"/>
    </w:rPr>
  </w:style>
  <w:style w:type="paragraph" w:styleId="896">
    <w:name w:val="footnote text"/>
    <w:basedOn w:val="913"/>
    <w:link w:val="897"/>
    <w:uiPriority w:val="99"/>
    <w:semiHidden/>
    <w:unhideWhenUsed/>
    <w:pPr>
      <w:spacing w:after="40" w:line="240" w:lineRule="auto"/>
    </w:pPr>
    <w:rPr>
      <w:sz w:val="18"/>
    </w:rPr>
  </w:style>
  <w:style w:type="character" w:styleId="897">
    <w:name w:val="Footnote Text Char"/>
    <w:link w:val="896"/>
    <w:uiPriority w:val="99"/>
    <w:rPr>
      <w:sz w:val="18"/>
    </w:rPr>
  </w:style>
  <w:style w:type="character" w:styleId="898">
    <w:name w:val="footnote reference"/>
    <w:uiPriority w:val="99"/>
    <w:unhideWhenUsed/>
    <w:rPr>
      <w:vertAlign w:val="superscript"/>
    </w:rPr>
  </w:style>
  <w:style w:type="paragraph" w:styleId="899">
    <w:name w:val="endnote text"/>
    <w:basedOn w:val="913"/>
    <w:link w:val="900"/>
    <w:uiPriority w:val="99"/>
    <w:semiHidden/>
    <w:unhideWhenUsed/>
    <w:pPr>
      <w:spacing w:after="0" w:line="240" w:lineRule="auto"/>
    </w:pPr>
    <w:rPr>
      <w:sz w:val="20"/>
    </w:rPr>
  </w:style>
  <w:style w:type="character" w:styleId="900">
    <w:name w:val="Endnote Text Char"/>
    <w:link w:val="899"/>
    <w:uiPriority w:val="99"/>
    <w:rPr>
      <w:sz w:val="20"/>
    </w:rPr>
  </w:style>
  <w:style w:type="character" w:styleId="901">
    <w:name w:val="endnote reference"/>
    <w:uiPriority w:val="99"/>
    <w:semiHidden/>
    <w:unhideWhenUsed/>
    <w:rPr>
      <w:vertAlign w:val="superscript"/>
    </w:rPr>
  </w:style>
  <w:style w:type="paragraph" w:styleId="902">
    <w:name w:val="toc 1"/>
    <w:basedOn w:val="913"/>
    <w:next w:val="913"/>
    <w:uiPriority w:val="39"/>
    <w:unhideWhenUsed/>
    <w:pPr>
      <w:ind w:left="0" w:right="0" w:firstLine="0"/>
      <w:spacing w:after="57"/>
    </w:pPr>
  </w:style>
  <w:style w:type="paragraph" w:styleId="903">
    <w:name w:val="toc 2"/>
    <w:basedOn w:val="913"/>
    <w:next w:val="913"/>
    <w:uiPriority w:val="39"/>
    <w:unhideWhenUsed/>
    <w:pPr>
      <w:ind w:left="283" w:right="0" w:firstLine="0"/>
      <w:spacing w:after="57"/>
    </w:pPr>
  </w:style>
  <w:style w:type="paragraph" w:styleId="904">
    <w:name w:val="toc 3"/>
    <w:basedOn w:val="913"/>
    <w:next w:val="913"/>
    <w:uiPriority w:val="39"/>
    <w:unhideWhenUsed/>
    <w:pPr>
      <w:ind w:left="567" w:right="0" w:firstLine="0"/>
      <w:spacing w:after="57"/>
    </w:pPr>
  </w:style>
  <w:style w:type="paragraph" w:styleId="905">
    <w:name w:val="toc 4"/>
    <w:basedOn w:val="913"/>
    <w:next w:val="913"/>
    <w:uiPriority w:val="39"/>
    <w:unhideWhenUsed/>
    <w:pPr>
      <w:ind w:left="850" w:right="0" w:firstLine="0"/>
      <w:spacing w:after="57"/>
    </w:pPr>
  </w:style>
  <w:style w:type="paragraph" w:styleId="906">
    <w:name w:val="toc 5"/>
    <w:basedOn w:val="913"/>
    <w:next w:val="913"/>
    <w:uiPriority w:val="39"/>
    <w:unhideWhenUsed/>
    <w:pPr>
      <w:ind w:left="1134" w:right="0" w:firstLine="0"/>
      <w:spacing w:after="57"/>
    </w:pPr>
  </w:style>
  <w:style w:type="paragraph" w:styleId="907">
    <w:name w:val="toc 6"/>
    <w:basedOn w:val="913"/>
    <w:next w:val="913"/>
    <w:uiPriority w:val="39"/>
    <w:unhideWhenUsed/>
    <w:pPr>
      <w:ind w:left="1417" w:right="0" w:firstLine="0"/>
      <w:spacing w:after="57"/>
    </w:pPr>
  </w:style>
  <w:style w:type="paragraph" w:styleId="908">
    <w:name w:val="toc 7"/>
    <w:basedOn w:val="913"/>
    <w:next w:val="913"/>
    <w:uiPriority w:val="39"/>
    <w:unhideWhenUsed/>
    <w:pPr>
      <w:ind w:left="1701" w:right="0" w:firstLine="0"/>
      <w:spacing w:after="57"/>
    </w:pPr>
  </w:style>
  <w:style w:type="paragraph" w:styleId="909">
    <w:name w:val="toc 8"/>
    <w:basedOn w:val="913"/>
    <w:next w:val="913"/>
    <w:uiPriority w:val="39"/>
    <w:unhideWhenUsed/>
    <w:pPr>
      <w:ind w:left="1984" w:right="0" w:firstLine="0"/>
      <w:spacing w:after="57"/>
    </w:pPr>
  </w:style>
  <w:style w:type="paragraph" w:styleId="910">
    <w:name w:val="toc 9"/>
    <w:basedOn w:val="913"/>
    <w:next w:val="913"/>
    <w:uiPriority w:val="39"/>
    <w:unhideWhenUsed/>
    <w:pPr>
      <w:ind w:left="2268" w:right="0" w:firstLine="0"/>
      <w:spacing w:after="57"/>
    </w:pPr>
  </w:style>
  <w:style w:type="paragraph" w:styleId="911">
    <w:name w:val="TOC Heading"/>
    <w:uiPriority w:val="39"/>
    <w:unhideWhenUsed/>
  </w:style>
  <w:style w:type="paragraph" w:styleId="912">
    <w:name w:val="table of figures"/>
    <w:basedOn w:val="913"/>
    <w:next w:val="913"/>
    <w:uiPriority w:val="99"/>
    <w:unhideWhenUsed/>
    <w:pPr>
      <w:spacing w:after="0" w:afterAutospacing="0"/>
    </w:pPr>
  </w:style>
  <w:style w:type="paragraph" w:styleId="913" w:default="1">
    <w:name w:val="Normal"/>
    <w:next w:val="913"/>
    <w:link w:val="913"/>
    <w:qFormat/>
    <w:rPr>
      <w:sz w:val="24"/>
      <w:szCs w:val="24"/>
      <w:lang w:val="ru-RU" w:eastAsia="ru-RU" w:bidi="ar-SA"/>
    </w:rPr>
  </w:style>
  <w:style w:type="paragraph" w:styleId="914">
    <w:name w:val="Заголовок 1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913"/>
    <w:next w:val="913"/>
    <w:link w:val="913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styleId="915">
    <w:name w:val="Заголовок 2,Заголовок 2 Знак,H2,H2 Знак,Заголовок 21,2,h2,Б2,RTC,iz2,Numbered text 3,HD2,heading 2,Heading 2 Hidden,Раздел Знак"/>
    <w:basedOn w:val="913"/>
    <w:next w:val="913"/>
    <w:link w:val="913"/>
    <w:qFormat/>
    <w:pPr>
      <w:numPr>
        <w:ilvl w:val="1"/>
        <w:numId w:val="1"/>
      </w:numPr>
      <w:keepNext/>
      <w:spacing w:before="360" w:after="120"/>
      <w:outlineLvl w:val="1"/>
    </w:pPr>
    <w:rPr>
      <w:b/>
      <w:sz w:val="32"/>
      <w:szCs w:val="20"/>
    </w:rPr>
  </w:style>
  <w:style w:type="paragraph" w:styleId="916">
    <w:name w:val="Заголовок 3"/>
    <w:basedOn w:val="913"/>
    <w:next w:val="913"/>
    <w:link w:val="959"/>
    <w:uiPriority w:val="99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styleId="917">
    <w:name w:val="Основной шрифт абзаца, Знак2"/>
    <w:next w:val="917"/>
    <w:link w:val="913"/>
    <w:semiHidden/>
  </w:style>
  <w:style w:type="table" w:styleId="918">
    <w:name w:val="Обычная таблица"/>
    <w:next w:val="918"/>
    <w:link w:val="913"/>
    <w:semiHidden/>
    <w:tblPr/>
  </w:style>
  <w:style w:type="numbering" w:styleId="919">
    <w:name w:val="Нет списка"/>
    <w:next w:val="919"/>
    <w:link w:val="913"/>
    <w:semiHidden/>
  </w:style>
  <w:style w:type="character" w:styleId="920">
    <w:name w:val="Гиперссылка"/>
    <w:next w:val="920"/>
    <w:link w:val="913"/>
    <w:uiPriority w:val="99"/>
    <w:rPr>
      <w:color w:val="336699"/>
      <w:u w:val="none"/>
    </w:rPr>
  </w:style>
  <w:style w:type="character" w:styleId="921">
    <w:name w:val="Просмотренная гиперссылка"/>
    <w:next w:val="921"/>
    <w:link w:val="913"/>
    <w:rPr>
      <w:color w:val="800080"/>
      <w:u w:val="single"/>
    </w:rPr>
  </w:style>
  <w:style w:type="paragraph" w:styleId="922">
    <w:name w:val="Пункт"/>
    <w:basedOn w:val="913"/>
    <w:next w:val="922"/>
    <w:link w:val="913"/>
    <w:pPr>
      <w:numPr>
        <w:ilvl w:val="2"/>
        <w:numId w:val="1"/>
      </w:numPr>
      <w:jc w:val="both"/>
      <w:spacing w:line="360" w:lineRule="auto"/>
    </w:pPr>
    <w:rPr>
      <w:sz w:val="28"/>
      <w:szCs w:val="20"/>
    </w:rPr>
  </w:style>
  <w:style w:type="paragraph" w:styleId="923">
    <w:name w:val="Подпункт"/>
    <w:basedOn w:val="922"/>
    <w:next w:val="923"/>
    <w:link w:val="913"/>
    <w:pPr>
      <w:numPr>
        <w:ilvl w:val="3"/>
        <w:numId w:val="1"/>
      </w:numPr>
    </w:pPr>
  </w:style>
  <w:style w:type="paragraph" w:styleId="924">
    <w:name w:val="Подподпункт"/>
    <w:basedOn w:val="923"/>
    <w:next w:val="924"/>
    <w:link w:val="913"/>
    <w:pPr>
      <w:numPr>
        <w:ilvl w:val="4"/>
        <w:numId w:val="1"/>
      </w:numPr>
    </w:pPr>
  </w:style>
  <w:style w:type="character" w:styleId="925">
    <w:name w:val="Основной текст Знак"/>
    <w:next w:val="925"/>
    <w:link w:val="954"/>
    <w:uiPriority w:val="99"/>
    <w:rPr>
      <w:sz w:val="28"/>
      <w:szCs w:val="28"/>
      <w:lang w:val="ru-RU" w:eastAsia="ru-RU"/>
    </w:rPr>
  </w:style>
  <w:style w:type="paragraph" w:styleId="926">
    <w:name w:val="Нижний колонтитул"/>
    <w:basedOn w:val="913"/>
    <w:next w:val="926"/>
    <w:link w:val="913"/>
    <w:pPr>
      <w:tabs>
        <w:tab w:val="center" w:pos="4677" w:leader="none"/>
        <w:tab w:val="right" w:pos="9355" w:leader="none"/>
      </w:tabs>
    </w:pPr>
  </w:style>
  <w:style w:type="character" w:styleId="927">
    <w:name w:val="Номер страницы"/>
    <w:basedOn w:val="917"/>
    <w:next w:val="927"/>
    <w:link w:val="913"/>
  </w:style>
  <w:style w:type="paragraph" w:styleId="928">
    <w:name w:val="3"/>
    <w:basedOn w:val="913"/>
    <w:next w:val="928"/>
    <w:link w:val="9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29">
    <w:name w:val=" Знак"/>
    <w:basedOn w:val="913"/>
    <w:next w:val="929"/>
    <w:link w:val="9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0">
    <w:name w:val=" Знак1"/>
    <w:basedOn w:val="913"/>
    <w:next w:val="930"/>
    <w:link w:val="9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1">
    <w:name w:val=" Знак Знак Знак Знак Знак"/>
    <w:basedOn w:val="913"/>
    <w:next w:val="931"/>
    <w:link w:val="9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2">
    <w:name w:val=" Знак Знак Знак1 Знак Знак"/>
    <w:basedOn w:val="913"/>
    <w:next w:val="932"/>
    <w:link w:val="9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3">
    <w:name w:val=" Знак Знак Знак Знак Знак Знак"/>
    <w:basedOn w:val="913"/>
    <w:next w:val="933"/>
    <w:link w:val="9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4">
    <w:name w:val="Нумерованный список"/>
    <w:basedOn w:val="913"/>
    <w:next w:val="934"/>
    <w:link w:val="913"/>
    <w:pPr>
      <w:jc w:val="both"/>
      <w:spacing w:before="60" w:line="360" w:lineRule="auto"/>
    </w:pPr>
    <w:rPr>
      <w:sz w:val="28"/>
    </w:rPr>
  </w:style>
  <w:style w:type="paragraph" w:styleId="935">
    <w:name w:val="Верхний колонтитул"/>
    <w:basedOn w:val="913"/>
    <w:next w:val="935"/>
    <w:link w:val="913"/>
    <w:pPr>
      <w:tabs>
        <w:tab w:val="center" w:pos="4677" w:leader="none"/>
        <w:tab w:val="right" w:pos="9355" w:leader="none"/>
      </w:tabs>
    </w:pPr>
  </w:style>
  <w:style w:type="paragraph" w:styleId="936">
    <w:name w:val="Стиль1 Знак"/>
    <w:basedOn w:val="923"/>
    <w:next w:val="936"/>
    <w:link w:val="937"/>
    <w:pPr>
      <w:numPr>
        <w:ilvl w:val="0"/>
        <w:numId w:val="0"/>
      </w:numPr>
      <w:spacing w:line="240" w:lineRule="auto"/>
    </w:pPr>
    <w:rPr>
      <w:szCs w:val="28"/>
    </w:rPr>
  </w:style>
  <w:style w:type="character" w:styleId="937">
    <w:name w:val="Стиль1 Знак Знак"/>
    <w:next w:val="937"/>
    <w:link w:val="936"/>
    <w:rPr>
      <w:sz w:val="28"/>
      <w:szCs w:val="28"/>
      <w:lang w:val="ru-RU" w:eastAsia="ru-RU" w:bidi="ar-SA"/>
    </w:rPr>
  </w:style>
  <w:style w:type="paragraph" w:styleId="938">
    <w:name w:val="Стиль1"/>
    <w:basedOn w:val="923"/>
    <w:next w:val="938"/>
    <w:link w:val="913"/>
    <w:pPr>
      <w:numPr>
        <w:ilvl w:val="0"/>
        <w:numId w:val="0"/>
      </w:numPr>
      <w:spacing w:line="240" w:lineRule="auto"/>
    </w:pPr>
    <w:rPr>
      <w:szCs w:val="28"/>
    </w:rPr>
  </w:style>
  <w:style w:type="character" w:styleId="939">
    <w:name w:val="заменить"/>
    <w:next w:val="939"/>
    <w:link w:val="913"/>
    <w:rPr>
      <w:i/>
      <w:u w:val="none"/>
      <w:shd w:val="clear" w:color="auto" w:fill="ffcc99"/>
    </w:rPr>
  </w:style>
  <w:style w:type="paragraph" w:styleId="940">
    <w:name w:val="Служебный"/>
    <w:basedOn w:val="913"/>
    <w:next w:val="940"/>
    <w:link w:val="913"/>
    <w:semiHidden/>
    <w:pPr>
      <w:pageBreakBefore/>
      <w:spacing w:before="480" w:after="240"/>
      <w:tabs>
        <w:tab w:val="left" w:pos="851" w:leader="none"/>
      </w:tabs>
      <w:outlineLvl w:val="0"/>
    </w:pPr>
    <w:rPr>
      <w:rFonts w:ascii="Arial" w:hAnsi="Arial" w:cs="Arial"/>
      <w:b/>
      <w:bCs/>
      <w:sz w:val="36"/>
      <w:szCs w:val="36"/>
    </w:rPr>
  </w:style>
  <w:style w:type="paragraph" w:styleId="941">
    <w:name w:val="ConsPlusNormal"/>
    <w:next w:val="941"/>
    <w:link w:val="913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paragraph" w:styleId="942">
    <w:name w:val="Схема документа"/>
    <w:basedOn w:val="913"/>
    <w:next w:val="942"/>
    <w:link w:val="913"/>
    <w:semiHidden/>
    <w:pPr>
      <w:shd w:val="clear" w:color="auto" w:fill="000080"/>
    </w:pPr>
    <w:rPr>
      <w:rFonts w:ascii="Tahoma" w:hAnsi="Tahoma" w:cs="Tahoma"/>
    </w:rPr>
  </w:style>
  <w:style w:type="paragraph" w:styleId="943">
    <w:name w:val="Обычный (веб)"/>
    <w:basedOn w:val="913"/>
    <w:next w:val="943"/>
    <w:link w:val="913"/>
    <w:pPr>
      <w:spacing w:before="100" w:beforeAutospacing="1" w:after="100" w:afterAutospacing="1"/>
    </w:pPr>
  </w:style>
  <w:style w:type="character" w:styleId="944">
    <w:name w:val="Выделение"/>
    <w:next w:val="944"/>
    <w:link w:val="913"/>
    <w:qFormat/>
    <w:rPr>
      <w:i/>
      <w:iCs/>
    </w:rPr>
  </w:style>
  <w:style w:type="paragraph" w:styleId="945">
    <w:name w:val="Текст выноски"/>
    <w:basedOn w:val="913"/>
    <w:next w:val="945"/>
    <w:link w:val="913"/>
    <w:semiHidden/>
    <w:rPr>
      <w:rFonts w:ascii="Tahoma" w:hAnsi="Tahoma" w:cs="Tahoma"/>
      <w:sz w:val="16"/>
      <w:szCs w:val="16"/>
    </w:rPr>
  </w:style>
  <w:style w:type="paragraph" w:styleId="946">
    <w:name w:val="1 Знак"/>
    <w:basedOn w:val="913"/>
    <w:next w:val="946"/>
    <w:link w:val="9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7">
    <w:name w:val="Знак"/>
    <w:basedOn w:val="913"/>
    <w:next w:val="947"/>
    <w:link w:val="917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8">
    <w:name w:val="1"/>
    <w:basedOn w:val="913"/>
    <w:next w:val="948"/>
    <w:link w:val="913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9">
    <w:name w:val="Заголовок_1"/>
    <w:basedOn w:val="913"/>
    <w:next w:val="949"/>
    <w:link w:val="913"/>
    <w:uiPriority w:val="99"/>
    <w:pPr>
      <w:numPr>
        <w:ilvl w:val="0"/>
        <w:numId w:val="16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950">
    <w:name w:val="Пункт_3"/>
    <w:basedOn w:val="913"/>
    <w:next w:val="950"/>
    <w:link w:val="913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styleId="951">
    <w:name w:val="Пункт_2"/>
    <w:basedOn w:val="913"/>
    <w:next w:val="951"/>
    <w:link w:val="913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styleId="952">
    <w:name w:val="Пункт_5"/>
    <w:basedOn w:val="950"/>
    <w:next w:val="952"/>
    <w:link w:val="913"/>
    <w:uiPriority w:val="99"/>
    <w:pPr>
      <w:numPr>
        <w:ilvl w:val="4"/>
        <w:numId w:val="16"/>
      </w:numPr>
    </w:pPr>
  </w:style>
  <w:style w:type="paragraph" w:styleId="953">
    <w:name w:val="Default"/>
    <w:next w:val="953"/>
    <w:link w:val="960"/>
    <w:rPr>
      <w:color w:val="000000"/>
      <w:sz w:val="24"/>
      <w:szCs w:val="24"/>
      <w:lang w:val="ru-RU" w:eastAsia="ru-RU" w:bidi="ar-SA"/>
    </w:rPr>
  </w:style>
  <w:style w:type="paragraph" w:styleId="954">
    <w:name w:val="Основной текст"/>
    <w:basedOn w:val="913"/>
    <w:next w:val="954"/>
    <w:link w:val="925"/>
    <w:uiPriority w:val="99"/>
    <w:pPr>
      <w:jc w:val="both"/>
      <w:spacing w:after="120"/>
    </w:pPr>
    <w:rPr>
      <w:sz w:val="28"/>
      <w:szCs w:val="28"/>
    </w:rPr>
  </w:style>
  <w:style w:type="character" w:styleId="955">
    <w:name w:val="Основной текст Знак1"/>
    <w:next w:val="955"/>
    <w:link w:val="913"/>
    <w:rPr>
      <w:sz w:val="24"/>
      <w:szCs w:val="24"/>
    </w:rPr>
  </w:style>
  <w:style w:type="paragraph" w:styleId="956">
    <w:name w:val="Абзац списка,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Абзац маркированнный"/>
    <w:basedOn w:val="913"/>
    <w:next w:val="956"/>
    <w:link w:val="957"/>
    <w:uiPriority w:val="34"/>
    <w:qFormat/>
    <w:pPr>
      <w:ind w:left="720"/>
    </w:pPr>
  </w:style>
  <w:style w:type="character" w:styleId="957">
    <w:name w:val="Абзац списка Знак,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next w:val="957"/>
    <w:link w:val="956"/>
    <w:uiPriority w:val="34"/>
    <w:qFormat/>
    <w:rPr>
      <w:sz w:val="24"/>
      <w:szCs w:val="24"/>
    </w:rPr>
  </w:style>
  <w:style w:type="character" w:styleId="958">
    <w:name w:val="Стиль99"/>
    <w:next w:val="958"/>
    <w:link w:val="913"/>
    <w:uiPriority w:val="1"/>
    <w:rPr>
      <w:sz w:val="24"/>
    </w:rPr>
  </w:style>
  <w:style w:type="character" w:styleId="959">
    <w:name w:val="Заголовок 3 Знак"/>
    <w:next w:val="959"/>
    <w:link w:val="916"/>
    <w:uiPriority w:val="99"/>
    <w:rPr>
      <w:rFonts w:ascii="Arial" w:hAnsi="Arial" w:cs="Arial"/>
      <w:b/>
      <w:bCs/>
      <w:sz w:val="26"/>
      <w:szCs w:val="26"/>
    </w:rPr>
  </w:style>
  <w:style w:type="character" w:styleId="960">
    <w:name w:val="Default Знак"/>
    <w:next w:val="960"/>
    <w:link w:val="953"/>
    <w:rPr>
      <w:color w:val="000000"/>
      <w:sz w:val="24"/>
      <w:szCs w:val="24"/>
    </w:rPr>
  </w:style>
  <w:style w:type="character" w:styleId="961" w:default="1">
    <w:name w:val="Default Paragraph Font"/>
    <w:uiPriority w:val="1"/>
    <w:semiHidden/>
    <w:unhideWhenUsed/>
  </w:style>
  <w:style w:type="numbering" w:styleId="962" w:default="1">
    <w:name w:val="No List"/>
    <w:uiPriority w:val="99"/>
    <w:semiHidden/>
    <w:unhideWhenUsed/>
  </w:style>
  <w:style w:type="table" w:styleId="963" w:default="1">
    <w:name w:val="Normal Table"/>
    <w:uiPriority w:val="99"/>
    <w:semiHidden/>
    <w:unhideWhenUsed/>
    <w:tblPr/>
  </w:style>
  <w:style w:type="paragraph" w:styleId="964" w:customStyle="1">
    <w:name w:val="Body Text"/>
    <w:uiPriority w:val="99"/>
    <w:pPr>
      <w:contextualSpacing w:val="0"/>
      <w:ind w:left="0" w:right="0" w:firstLine="0"/>
      <w:jc w:val="both"/>
      <w:keepLines w:val="0"/>
      <w:keepNext w:val="0"/>
      <w:pageBreakBefore w:val="0"/>
      <w:spacing w:before="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hyperlink" Target="https://phonebook.rosseti-sz.ru/pls/telephone/phone_mrsk.main?parID=-22867&amp;parATSID=3563&amp;parFocusedEmpID=-82161" TargetMode="External"/><Relationship Id="rId12" Type="http://schemas.openxmlformats.org/officeDocument/2006/relationships/hyperlink" Target="mailto:gilbergno@rosseti-sz.ru" TargetMode="External"/><Relationship Id="rId13" Type="http://schemas.openxmlformats.org/officeDocument/2006/relationships/hyperlink" Target="https://www.consultant.ru/document/cons_doc_LAW_494318/92d969e26a4326c5d02fa79b8f9cf4994ee5633b/" TargetMode="External"/><Relationship Id="rId14" Type="http://schemas.openxmlformats.org/officeDocument/2006/relationships/hyperlink" Target="https://www.consultant.ru/document/cons_doc_LAW_494318/92d969e26a4326c5d02fa79b8f9cf4994ee5633b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ОАО "МРСК Северо-Запада"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revision>137</cp:revision>
  <dcterms:created xsi:type="dcterms:W3CDTF">2018-12-17T12:54:00Z</dcterms:created>
  <dcterms:modified xsi:type="dcterms:W3CDTF">2025-03-28T14:08:20Z</dcterms:modified>
  <cp:version>1048576</cp:version>
</cp:coreProperties>
</file>