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page" w:tblpY="710" w:leftFromText="180" w:topFromText="0" w:rightFromText="180" w:bottomFromText="0"/>
        <w:tblW w:w="98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10"/>
        <w:gridCol w:w="6379"/>
      </w:tblGrid>
      <w:tr>
        <w:tblPrEx/>
        <w:trPr>
          <w:trHeight w:val="1418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889" w:type="dxa"/>
            <w:textDirection w:val="lrTb"/>
            <w:noWrap w:val="false"/>
          </w:tcPr>
          <w:p>
            <w:pPr>
              <w:jc w:val="center"/>
            </w:pPr>
            <w:r>
              <w:t xml:space="preserve">ИЗВЕЩЕНИЕ</w:t>
            </w:r>
            <w:r/>
          </w:p>
          <w:p>
            <w:pPr>
              <w:jc w:val="center"/>
            </w:pPr>
            <w:r>
              <w:t xml:space="preserve">о проведении конкурса в электронной форме</w:t>
            </w:r>
            <w:r/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</w:pPr>
            <w:r>
              <w:t xml:space="preserve">Публичное акционерное общество «Россети Ленэнерго» (далее - ПАО «Россети Ленэнерго», Заказчик), являющееся также Организатором закупки, настоящим приглашает к участию в конкурсе</w:t>
            </w:r>
            <w:r>
              <w:t xml:space="preserve"> в электронной форме (далее – конкурс, закупка)</w:t>
            </w:r>
            <w:r/>
          </w:p>
          <w:p>
            <w:pPr>
              <w:jc w:val="center"/>
            </w:pPr>
            <w:r/>
            <w:r/>
          </w:p>
          <w:p>
            <w:pPr>
              <w:jc w:val="right"/>
            </w:pPr>
            <w:r>
              <w:t xml:space="preserve">«</w:t>
            </w:r>
            <w:r>
              <w:rPr>
                <w:lang w:val="en-US"/>
              </w:rPr>
              <w:t xml:space="preserve">24</w:t>
            </w:r>
            <w:r>
              <w:t xml:space="preserve">» апреля</w:t>
            </w:r>
            <w:r>
              <w:t xml:space="preserve"> </w:t>
            </w:r>
            <w:r>
              <w:t xml:space="preserve">202</w:t>
            </w:r>
            <w:r>
              <w:t xml:space="preserve">5</w:t>
            </w:r>
            <w:r>
              <w:t xml:space="preserve"> года</w:t>
            </w:r>
            <w:r/>
          </w:p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949"/>
        </w:trPr>
        <w:tc>
          <w:tcPr>
            <w:tcBorders>
              <w:top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r>
              <w:t xml:space="preserve">Способ осуществления закупки</w:t>
            </w:r>
            <w:r/>
          </w:p>
        </w:tc>
        <w:tc>
          <w:tcPr>
            <w:tcBorders>
              <w:top w:val="single" w:color="000000" w:sz="4" w:space="0"/>
            </w:tcBorders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Конкурс  в электронной форме </w:t>
            </w:r>
            <w:r/>
          </w:p>
        </w:tc>
      </w:tr>
      <w:tr>
        <w:tblPrEx/>
        <w:trPr>
          <w:trHeight w:val="3519"/>
        </w:trPr>
        <w:tc>
          <w:tcPr>
            <w:tcBorders>
              <w:top w:val="single" w:color="000000" w:sz="4" w:space="0"/>
            </w:tcBorders>
            <w:tcW w:w="3510" w:type="dxa"/>
            <w:vAlign w:val="center"/>
            <w:textDirection w:val="lrTb"/>
            <w:noWrap w:val="false"/>
          </w:tcPr>
          <w:p>
            <w: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000000" w:sz="4" w:space="0"/>
            </w:tcBorders>
            <w:tcW w:w="6379" w:type="dxa"/>
            <w:vAlign w:val="center"/>
            <w:textDirection w:val="lrTb"/>
            <w:noWrap w:val="false"/>
          </w:tcPr>
          <w:p>
            <w:r>
              <w:t xml:space="preserve">Наименование Заказчика: ПАО «Россети Ленэнерго»</w:t>
            </w:r>
            <w:r/>
          </w:p>
          <w:p>
            <w:r>
              <w:t xml:space="preserve">Место нахождения и почтовый адрес Заказчика: 197349, г. Санкт-Петербург, вн. тер. г. Муниципальный округ озеро Долгое, ул. Гаккелевская, д. 21, лит. А.</w:t>
            </w:r>
            <w:r/>
          </w:p>
          <w:p>
            <w:r>
              <w:t xml:space="preserve">Контактное лицо Заказчика: </w:t>
            </w:r>
            <w:r/>
          </w:p>
          <w:p>
            <w:pPr>
              <w:tabs>
                <w:tab w:val="left" w:pos="851" w:leader="none"/>
                <w:tab w:val="left" w:pos="1134" w:leader="none"/>
              </w:tabs>
            </w:pPr>
            <w:r>
              <w:t xml:space="preserve">Ведущий специалист </w:t>
            </w:r>
            <w:r>
              <w:t xml:space="preserve">отдела подготовки и проведения конкурсов </w:t>
            </w:r>
            <w:r>
              <w:t xml:space="preserve">Емец Ирина Анатольевна</w:t>
            </w:r>
            <w:r>
              <w:t xml:space="preserve">, тел. </w:t>
            </w:r>
            <w:r>
              <w:t xml:space="preserve">(812) 630-42-20, доб.40266</w:t>
            </w:r>
            <w:r>
              <w:t xml:space="preserve">, </w:t>
            </w:r>
            <w:r>
              <w:rPr>
                <w:lang w:val="en-US"/>
              </w:rPr>
              <w:t xml:space="preserve">e</w:t>
            </w:r>
            <w:r>
              <w:t xml:space="preserve">-</w:t>
            </w:r>
            <w:r>
              <w:rPr>
                <w:lang w:val="en-US"/>
              </w:rPr>
              <w:t xml:space="preserve">mail</w:t>
            </w:r>
            <w:r>
              <w:t xml:space="preserve"> -</w:t>
            </w:r>
            <w:r>
              <w:t xml:space="preserve"> </w:t>
            </w:r>
            <w:r>
              <w:t xml:space="preserve">Emets.IA@lenenergo.ru</w:t>
            </w:r>
            <w:r/>
          </w:p>
          <w:p>
            <w:pPr>
              <w:tabs>
                <w:tab w:val="left" w:pos="851" w:leader="none"/>
                <w:tab w:val="left" w:pos="1134" w:leader="none"/>
              </w:tabs>
            </w:pPr>
            <w:r>
              <w:t xml:space="preserve">Начальник отдела подготовки и проведения конкурс</w:t>
            </w:r>
            <w:r>
              <w:t xml:space="preserve">ов </w:t>
            </w:r>
            <w:r>
              <w:br/>
              <w:t xml:space="preserve">Парфенов Николай Николаевич, тел. (812) 494-32-93, </w:t>
            </w:r>
            <w:r>
              <w:br/>
              <w:t xml:space="preserve">эл. адрес: Parfenov.NN@</w:t>
            </w:r>
            <w:r>
              <w:rPr>
                <w:lang w:val="en-US"/>
              </w:rPr>
              <w:t xml:space="preserve">len</w:t>
            </w:r>
            <w:r>
              <w:t xml:space="preserve">energo.</w:t>
            </w:r>
            <w:r>
              <w:rPr>
                <w:lang w:val="en-US"/>
              </w:rPr>
              <w:t xml:space="preserve">ru</w:t>
            </w:r>
            <w:r/>
          </w:p>
        </w:tc>
      </w:tr>
      <w:tr>
        <w:tblPrEx/>
        <w:trPr>
          <w:trHeight w:val="975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Номер закупки в Плане закупки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r>
              <w:t xml:space="preserve">250398</w:t>
            </w:r>
            <w:r/>
          </w:p>
        </w:tc>
      </w:tr>
      <w:tr>
        <w:tblPrEx/>
        <w:trPr>
          <w:trHeight w:val="2686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Предмет договора с указанием объема оказываемой услуги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</w:rPr>
            </w:pPr>
            <w:r>
              <w:rPr>
                <w:b/>
              </w:rPr>
              <w:t xml:space="preserve">250398 Оказание услуг ТП и сопровождения портала реализации услуг ПАО "Ленэнерго" в части подсистемы взаимодействия с внешними контрагентами</w:t>
            </w:r>
            <w:r>
              <w:rPr>
                <w:b/>
              </w:rPr>
            </w:r>
          </w:p>
          <w:p>
            <w:r/>
            <w:r/>
          </w:p>
          <w:p>
            <w:pPr>
              <w:jc w:val="both"/>
            </w:pPr>
            <w:r>
              <w:t xml:space="preserve">Более подробно информация об объеме оказываемых услуг, определены Техническом задании (Раздел №</w:t>
            </w:r>
            <w:r>
              <w:rPr>
                <w:lang w:val="en-US"/>
              </w:rPr>
              <w:t xml:space="preserve">V</w:t>
            </w:r>
            <w:r>
              <w:t xml:space="preserve"> к документации о закупке</w:t>
            </w:r>
            <w:r>
              <w:t xml:space="preserve">) и/или Проекте договора (Раздел №</w:t>
            </w:r>
            <w:r>
              <w:rPr>
                <w:lang w:val="en-US"/>
              </w:rPr>
              <w:t xml:space="preserve">IV</w:t>
            </w:r>
            <w:r>
              <w:t xml:space="preserve"> к документации о закупке).</w:t>
            </w:r>
            <w:r/>
          </w:p>
        </w:tc>
      </w:tr>
      <w:tr>
        <w:tblPrEx/>
        <w:trPr>
          <w:trHeight w:val="1547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Краткое описание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Оказание услуг ТП и сопровождения портала реализации услуг ПАО "Ленэнерго" в части подсистемы взаимодействия с внешними контрагентами</w:t>
            </w:r>
            <w:r/>
          </w:p>
        </w:tc>
      </w:tr>
      <w:tr>
        <w:tblPrEx/>
        <w:trPr>
          <w:trHeight w:val="8496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Сведения о начальной (максимальной) цене договора (цена закупки),  конкретный размер начальной (максимальной) цены договора, либо формула цены, указание максимального значения цены договора, либо цены единицы услуги и максимального значения цены договора</w:t>
            </w:r>
            <w:r/>
          </w:p>
        </w:tc>
        <w:tc>
          <w:tcPr>
            <w:tcW w:w="6379" w:type="dxa"/>
            <w:textDirection w:val="lrTb"/>
            <w:noWrap w:val="false"/>
          </w:tcPr>
          <w:p>
            <w:pPr>
              <w:jc w:val="both"/>
            </w:pPr>
            <w:r>
              <w:t xml:space="preserve">Н</w:t>
            </w:r>
            <w:r>
              <w:t xml:space="preserve">ачальная (максимальная) цена договора (цена закупки):</w:t>
            </w:r>
            <w:r/>
          </w:p>
          <w:p>
            <w:pPr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  <w:t xml:space="preserve">24 937 977,60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t xml:space="preserve">руб. </w:t>
            </w:r>
            <w:r>
              <w:rPr>
                <w:b/>
                <w:lang w:val="en-US"/>
              </w:rPr>
              <w:t xml:space="preserve">c</w:t>
            </w:r>
            <w:r>
              <w:rPr>
                <w:b/>
              </w:rPr>
              <w:t xml:space="preserve"> НДС;</w:t>
            </w:r>
            <w:r>
              <w:rPr>
                <w:b/>
              </w:rPr>
            </w:r>
          </w:p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4 156 329,60</w:t>
            </w:r>
            <w:r>
              <w:t xml:space="preserve"> руб. НДС-20%</w:t>
            </w:r>
            <w:r/>
          </w:p>
          <w:p>
            <w:r/>
            <w:r/>
          </w:p>
          <w:p>
            <w:pPr>
              <w:jc w:val="both"/>
            </w:pPr>
            <w:r>
              <w:t xml:space="preserve">20 781 648,00</w:t>
            </w:r>
            <w:r>
              <w:t xml:space="preserve"> </w:t>
            </w:r>
            <w:r>
              <w:t xml:space="preserve">руб. без НДС.</w:t>
            </w:r>
            <w:r>
              <w:rPr>
                <w:b/>
              </w:rPr>
              <w:t xml:space="preserve"> 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Цена договора, предлагаемая участником закупки, не может превышать начальную (максимальную) цену договора (цену заку</w:t>
            </w:r>
            <w:r>
              <w:t xml:space="preserve">пки), указанную в извещении о проведении конкурса и п.п. 1.3.1, 3.5.1 части </w:t>
            </w:r>
            <w:r>
              <w:rPr>
                <w:lang w:val="en-US"/>
              </w:rPr>
              <w:t xml:space="preserve">I</w:t>
            </w:r>
            <w:r>
              <w:t xml:space="preserve"> «ОБЩИЕ УСЛОВИЯ ПРОВЕДЕНИЯ ЗАКУПКИ» документации о закупке,  при этом в случае, если участник закупки находится на упрощенной системе налогообложения либо услуги участника не обла</w:t>
            </w:r>
            <w:r>
              <w:t xml:space="preserve">гаются НДС, учитывается ценовое предложение участника без НДС относительно начальной (максимальной) цены договора (цены закупки) с учётом исключённого из неё НДС (превышение показателя стоимости без НДС, указанного в порядке определения стоимости НМЦ, недо</w:t>
            </w:r>
            <w:r>
              <w:t xml:space="preserve">пустимо).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</w:t>
            </w:r>
            <w:r>
              <w:t xml:space="preserve"> договора должен оплачивать в соответствии с условиями договора или на иных основаниях (обоснование НМЦ указано в Приложении №3 к документации о закупке – «Обоснование начальной (максимальной) цены закупки»).</w:t>
            </w:r>
            <w:r/>
          </w:p>
        </w:tc>
      </w:tr>
      <w:tr>
        <w:tblPrEx/>
        <w:trPr>
          <w:trHeight w:val="3957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Место оказания услуг</w:t>
            </w:r>
            <w:r/>
          </w:p>
          <w:p>
            <w:r/>
            <w:r/>
          </w:p>
          <w:p>
            <w:r/>
            <w:r/>
          </w:p>
          <w:p>
            <w:r/>
            <w:r/>
          </w:p>
          <w:p>
            <w:r>
              <w:t xml:space="preserve">Сроки оказания услуг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rPr>
                <w:szCs w:val="28"/>
              </w:rPr>
            </w:pPr>
            <w:r>
              <w:rPr>
                <w:szCs w:val="28"/>
              </w:rPr>
            </w:r>
            <w:r>
              <w:rPr>
                <w:szCs w:val="28"/>
              </w:rPr>
            </w:r>
          </w:p>
          <w:p>
            <w:r>
              <w:t xml:space="preserve">Место оказания услуг:</w:t>
            </w:r>
            <w:r/>
          </w:p>
          <w:p>
            <w:r>
              <w:t xml:space="preserve">Санкт-Петербург, мун. округ Озеро Долгое вн. тер. г., ул. Гаккелевская, д. 21, литера А.</w:t>
            </w:r>
            <w:r/>
          </w:p>
          <w:p>
            <w:r/>
            <w:r/>
          </w:p>
          <w:p>
            <w:r>
              <w:t xml:space="preserve">Более подробная информация о месте, условиях и сроках (периодах) оказания услуг указана в Техническом задании (Раздел №V к документации о закупке) и/или Проекте договора (Раздел №IV к документации о закупке).</w:t>
            </w:r>
            <w:r/>
          </w:p>
          <w:p>
            <w:r/>
            <w:r/>
          </w:p>
          <w:p>
            <w:r>
              <w:t xml:space="preserve">Ср</w:t>
            </w:r>
            <w:r>
              <w:t xml:space="preserve">оки оказания услуг: </w:t>
            </w:r>
            <w:r>
              <w:t xml:space="preserve">18.08.2025</w:t>
            </w:r>
            <w:r>
              <w:t xml:space="preserve"> </w:t>
            </w:r>
            <w:r>
              <w:t xml:space="preserve">- </w:t>
            </w:r>
            <w:r>
              <w:t xml:space="preserve">17.08.2028</w:t>
            </w:r>
            <w:r>
              <w:t xml:space="preserve">.</w:t>
            </w:r>
            <w:r/>
          </w:p>
          <w:p>
            <w:r/>
            <w:r/>
          </w:p>
          <w:p>
            <w:r>
              <w:t xml:space="preserve">Условия оказания услуг указаны в разделе IV «Проект договора» настоящей документации о закупке.</w:t>
            </w:r>
            <w:r/>
          </w:p>
          <w:p>
            <w:r/>
            <w:r/>
          </w:p>
        </w:tc>
      </w:tr>
      <w:tr>
        <w:tblPrEx/>
        <w:trPr>
          <w:trHeight w:val="1550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Форма, сроки и порядок оплаты услуги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Форма, сроки и порядок оплаты услуги установлены в разделе V «Техническое задание» и разделе IV «Проект договора» настоящей документации о закупке.</w:t>
            </w:r>
            <w:r/>
          </w:p>
        </w:tc>
      </w:tr>
      <w:tr>
        <w:tblPrEx/>
        <w:trPr>
          <w:trHeight w:val="3113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rPr>
                <w:rFonts w:eastAsia="Calibri"/>
              </w:rPr>
            </w:pPr>
            <w:r>
              <w:t xml:space="preserve">Срок, место и порядок предоставления документации о закупке</w:t>
            </w:r>
            <w:r>
              <w:rPr>
                <w:rFonts w:eastAsia="Calibri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Срок предоставления документации о закупке: </w:t>
            </w:r>
            <w:r/>
          </w:p>
          <w:p>
            <w:pPr>
              <w:jc w:val="both"/>
            </w:pPr>
            <w:r>
              <w:t xml:space="preserve">с </w:t>
            </w:r>
            <w:r>
              <w:t xml:space="preserve">25.04.2025 г. по 13.05.2025 г.</w:t>
            </w:r>
            <w:r/>
          </w:p>
          <w:p>
            <w:pPr>
              <w:jc w:val="both"/>
            </w:pPr>
            <w: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10" w:tooltip="http://www.zakupki.gov.ru" w:history="1">
              <w:r>
                <w:t xml:space="preserve">www.zaku</w:t>
              </w:r>
              <w:r>
                <w:t xml:space="preserve">pki.gov.ru</w:t>
              </w:r>
            </w:hyperlink>
            <w:r>
              <w:t xml:space="preserve">, а также на сайте электронной торговой площадки (далее – ЭТП) </w:t>
            </w:r>
            <w:r>
              <w:rPr>
                <w:rStyle w:val="870"/>
              </w:rPr>
              <w:t xml:space="preserve"> </w:t>
            </w:r>
            <w:hyperlink r:id="rId11" w:tooltip="https://tender.lot-online.ru/" w:history="1">
              <w:r>
                <w:rPr>
                  <w:rStyle w:val="849"/>
                </w:rPr>
                <w:t xml:space="preserve">https://tender.lot-online.ru/</w:t>
              </w:r>
            </w:hyperlink>
            <w:r>
              <w:t xml:space="preserve"> со дня размещения документации о закупке и настоящего извещения на вышеуказанных сайтах и в вышеуказанн</w:t>
            </w:r>
            <w:r>
              <w:t xml:space="preserve">ые сроки</w:t>
            </w:r>
            <w:r>
              <w:rPr>
                <w:color w:val="000000"/>
              </w:rPr>
              <w:t xml:space="preserve">.</w:t>
            </w:r>
            <w:r/>
          </w:p>
        </w:tc>
      </w:tr>
      <w:tr>
        <w:tblPrEx/>
        <w:trPr>
          <w:trHeight w:val="8518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/>
          </w:p>
        </w:tc>
        <w:tc>
          <w:tcPr>
            <w:tcW w:w="6379" w:type="dxa"/>
            <w:textDirection w:val="lrTb"/>
            <w:noWrap w:val="false"/>
          </w:tcPr>
          <w:p>
            <w:pPr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pStyle w:val="900"/>
              <w:jc w:val="both"/>
            </w:pPr>
            <w:r>
              <w:t xml:space="preserve">Дата начала срока подачи заявок: 25.04.2025 года;</w:t>
            </w:r>
            <w:r/>
          </w:p>
          <w:p>
            <w:pPr>
              <w:pStyle w:val="90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r>
              <w:t xml:space="preserve">13.05.2025 года 11:00 (время мо</w:t>
            </w:r>
            <w:r>
              <w:t xml:space="preserve">сковское)</w:t>
            </w:r>
            <w:r/>
          </w:p>
          <w:p>
            <w:r/>
            <w:r/>
          </w:p>
          <w:p>
            <w:pPr>
              <w:pStyle w:val="900"/>
              <w:jc w:val="both"/>
            </w:pPr>
            <w:r>
              <w:t xml:space="preserve">Этап «Рассмотрение заявок участников»: </w:t>
            </w:r>
            <w:r/>
          </w:p>
          <w:p>
            <w:pPr>
              <w:pStyle w:val="900"/>
              <w:jc w:val="both"/>
            </w:pPr>
            <w:r>
              <w:t xml:space="preserve">дата начала этапа - 13.05.2025 г.</w:t>
            </w:r>
            <w:r/>
          </w:p>
          <w:p>
            <w:pPr>
              <w:pStyle w:val="900"/>
              <w:jc w:val="both"/>
            </w:pPr>
            <w:r>
              <w:t xml:space="preserve">дата окончания этапа - 22.05.2025 г.</w:t>
            </w:r>
            <w:r/>
          </w:p>
          <w:p>
            <w:pPr>
              <w:pStyle w:val="900"/>
              <w:jc w:val="both"/>
            </w:pPr>
            <w:r/>
            <w:r/>
          </w:p>
          <w:p>
            <w:r>
              <w:t xml:space="preserve">Этап «Переторжка»:</w:t>
            </w:r>
            <w:r/>
          </w:p>
          <w:p>
            <w:r>
              <w:t xml:space="preserve">дата начала этапа – 26.05.2025 г.</w:t>
            </w:r>
            <w:r/>
          </w:p>
          <w:p>
            <w:r>
              <w:t xml:space="preserve">дата окончания этапа - 26.05.2025 г.</w:t>
            </w:r>
            <w:r/>
          </w:p>
          <w:p>
            <w:pPr>
              <w:pStyle w:val="900"/>
              <w:jc w:val="both"/>
            </w:pPr>
            <w:r>
              <w:t xml:space="preserve">шаг переторжки – 0,16% от НМЦ закупки.</w:t>
            </w:r>
            <w:r/>
          </w:p>
          <w:p>
            <w:pPr>
              <w:pStyle w:val="900"/>
              <w:jc w:val="both"/>
            </w:pPr>
            <w:r/>
            <w:r/>
          </w:p>
          <w:p>
            <w:pPr>
              <w:pStyle w:val="905"/>
              <w:jc w:val="both"/>
              <w:spacing w:before="0" w:beforeAutospacing="0" w:after="0" w:afterAutospacing="0"/>
            </w:pPr>
            <w:r>
              <w:rPr>
                <w:color w:val="000000"/>
              </w:rPr>
              <w:t xml:space="preserve">Этап «Подведение итогов закупки, в рамках которых осуществляется оценка и сопоставление заявок участников, допущенных до участия в закупке по результатам рассмотрения заявок»:</w:t>
            </w:r>
            <w:r>
              <w:t xml:space="preserve"> </w:t>
            </w:r>
            <w:r/>
          </w:p>
          <w:p>
            <w:pPr>
              <w:pStyle w:val="900"/>
              <w:jc w:val="both"/>
            </w:pPr>
            <w:r>
              <w:t xml:space="preserve">дата начала этапа - 26.05.2025 г.</w:t>
            </w:r>
            <w:r/>
          </w:p>
          <w:p>
            <w:pPr>
              <w:pStyle w:val="900"/>
              <w:jc w:val="both"/>
            </w:pPr>
            <w:r>
              <w:t xml:space="preserve">дата окончания этапа - 03.06</w:t>
            </w:r>
            <w:r>
              <w:t xml:space="preserve">.2025 г.</w:t>
            </w:r>
            <w:r/>
          </w:p>
          <w:p>
            <w:pPr>
              <w:jc w:val="both"/>
            </w:pPr>
            <w:r/>
            <w:r/>
          </w:p>
          <w:p>
            <w:pPr>
              <w:pStyle w:val="880"/>
              <w:jc w:val="both"/>
              <w:spacing w:after="0"/>
            </w:pPr>
            <w:r>
              <w:rPr>
                <w:color w:val="000000"/>
              </w:rPr>
              <w:t xml:space="preserve">По решению Закупочной комиссии после окончания срока подачи заявок Заказчик вправе изменить сроки проведения последующих этапов закупки. Вносимые изменения оформляются путем подписания соответствующего Протокола</w:t>
            </w:r>
            <w:r>
              <w:t xml:space="preserve">.</w:t>
            </w:r>
            <w:r/>
          </w:p>
        </w:tc>
      </w:tr>
      <w:tr>
        <w:tblPrEx/>
        <w:trPr>
          <w:trHeight w:val="6371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Требования к участникам конкурса</w:t>
            </w:r>
            <w:r/>
          </w:p>
        </w:tc>
        <w:tc>
          <w:tcPr>
            <w:tcW w:w="6379" w:type="dxa"/>
            <w:textDirection w:val="lrTb"/>
            <w:noWrap w:val="false"/>
          </w:tcPr>
          <w:p>
            <w:pPr>
              <w:jc w:val="both"/>
            </w:pPr>
            <w:r>
      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</w:t>
            </w:r>
            <w:r>
              <w:t xml:space="preserve">чением юридического лица, являющегося иностранным агентом в соответствии с Федеральным законом от 14.07.2022 года </w:t>
            </w:r>
            <w:r>
              <w:br w:type="textWrapping" w:clear="all"/>
            </w:r>
            <w:r>
              <w:t xml:space="preserve">№ 255-ФЗ "О контроле за деятельностью лиц, находящихся под иностранным влиянием, либо любое физическое лицо или несколько физических лиц, выс</w:t>
            </w:r>
            <w:r>
              <w:t xml:space="preserve">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</w:t>
            </w:r>
            <w:r>
              <w:t xml:space="preserve">ветствии с Федеральным законом от 14.07.2022 года № 255-ФЗ "О контроле за деятельностью лиц, находящихся под иностранным влиянием".</w:t>
            </w:r>
            <w:r/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</w:pPr>
            <w:r>
              <w:t xml:space="preserve">Более подробные требования к Участникам, а также требования к порядку подтверждения соответствия этим требованиям, содержат</w:t>
            </w:r>
            <w:r>
              <w:t xml:space="preserve">ся в документации о закупке.</w:t>
            </w:r>
            <w:r/>
          </w:p>
        </w:tc>
      </w:tr>
      <w:tr>
        <w:tblPrEx/>
        <w:trPr>
          <w:trHeight w:val="1970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pStyle w:val="900"/>
              <w:jc w:val="both"/>
            </w:pPr>
            <w:r>
              <w:t xml:space="preserve">Предоставление национального режима при осуществлении закупок товаров, работ, услуг: 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В соответствии с Постановлением Правительства РФ от 23.12.2024 N 1875"О мерах по предоставлению национального режима при осуществлении закуп</w:t>
            </w:r>
            <w:r>
              <w:t xml:space="preserve">ок товаров, работ, услуг для обеспечения государственных и муниципальных нужд, закупок товаров, работ, услуг отдельными видами юридических лиц".</w:t>
            </w:r>
            <w:r/>
          </w:p>
        </w:tc>
      </w:tr>
      <w:tr>
        <w:tblPrEx/>
        <w:trPr>
          <w:trHeight w:val="3529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Запрет закупок товаров (в том числе поставляемых при в</w:t>
            </w:r>
            <w:r>
              <w:t xml:space="preserve">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гражданами, иностранными юридическими лицами (далее - иностранные лица), по перечню согласно </w:t>
            </w:r>
            <w:hyperlink w:tooltip="ПЕРЕЧЕНЬ" w:anchor="P174" w:history="1">
              <w:r>
                <w:t xml:space="preserve">приложению N 1</w:t>
              </w:r>
            </w:hyperlink>
            <w:r>
              <w:t xml:space="preserve">.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Требование не установлено.</w:t>
            </w:r>
            <w:r/>
          </w:p>
        </w:tc>
      </w:tr>
      <w:tr>
        <w:tblPrEx/>
        <w:trPr>
          <w:trHeight w:val="1403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</w:t>
            </w:r>
            <w:r>
              <w:t xml:space="preserve">ответственно выполняемых, оказываемых иностранными лицами, по перечню согласно </w:t>
            </w:r>
            <w:hyperlink w:tooltip="ПЕРЕЧЕНЬ" w:anchor="P661" w:history="1">
              <w:r>
                <w:t xml:space="preserve">приложению N 2</w:t>
              </w:r>
            </w:hyperlink>
            <w:r>
              <w:t xml:space="preserve">.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Требование не установлено.</w:t>
            </w:r>
            <w:r/>
          </w:p>
        </w:tc>
      </w:tr>
      <w:tr>
        <w:tblPrEx/>
        <w:trPr>
          <w:trHeight w:val="1837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услуг).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Требование не установлено.</w:t>
            </w:r>
            <w:r/>
          </w:p>
        </w:tc>
      </w:tr>
      <w:tr>
        <w:tblPrEx/>
        <w:trPr>
          <w:trHeight w:val="3393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Разъяснение положений закупочной документации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Любой участник закупки вправе направ</w:t>
            </w:r>
            <w:r>
              <w:t xml:space="preserve">ить Заказчику (Организатору закупки) в порядке, предусмотренном Законом 223-ФЗ и документацией о закупке, запрос о даче разъяснений положений извещения о закупке и (или) документации о закупке. При проведении закупки в электронной форме запрос направляется</w:t>
            </w:r>
            <w:r>
              <w:t xml:space="preserve"> участником посредством функционала электронной площадки.</w:t>
            </w:r>
            <w:r/>
          </w:p>
          <w:p>
            <w:r/>
            <w:r/>
          </w:p>
          <w:p>
            <w:pPr>
              <w:jc w:val="both"/>
            </w:pPr>
            <w:r>
              <w:t xml:space="preserve">Более подробная информация о порядке направления участниками запросов о даче разъяснений содержится в документации о закупке.</w:t>
            </w:r>
            <w:r/>
          </w:p>
        </w:tc>
      </w:tr>
      <w:tr>
        <w:tblPrEx/>
        <w:trPr>
          <w:trHeight w:val="1410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Адрес электронной площадки в информационно-телекоммуникационной сети «Интернет»</w:t>
            </w:r>
            <w:r/>
          </w:p>
        </w:tc>
        <w:tc>
          <w:tcPr>
            <w:tcW w:w="6379" w:type="dxa"/>
            <w:textDirection w:val="lrTb"/>
            <w:noWrap w:val="false"/>
          </w:tcPr>
          <w:p>
            <w:pPr>
              <w:jc w:val="both"/>
            </w:pPr>
            <w:r/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rPr>
                <w:rStyle w:val="849"/>
              </w:rPr>
              <w:t xml:space="preserve">https://tender.lot-online.ru/</w:t>
            </w:r>
            <w:r/>
          </w:p>
        </w:tc>
      </w:tr>
      <w:tr>
        <w:tblPrEx/>
        <w:trPr>
          <w:trHeight w:val="8077"/>
        </w:trPr>
        <w:tc>
          <w:tcPr>
            <w:tcW w:w="3510" w:type="dxa"/>
            <w:vAlign w:val="center"/>
            <w:textDirection w:val="lrTb"/>
            <w:noWrap w:val="false"/>
          </w:tcPr>
          <w:p>
            <w:r>
              <w:t xml:space="preserve">Обеспечение заявок на участие в закупке</w:t>
            </w:r>
            <w:r/>
          </w:p>
          <w:p>
            <w:r/>
            <w:r/>
          </w:p>
          <w:p>
            <w:r>
              <w:t xml:space="preserve">Размер, порядок предоставления обеспечения заявок на участие в закупке</w:t>
            </w:r>
            <w:r/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Обеспечение заявок на участие в закупке предусмотрено в размере 3% от начальной (максимальной) цены договора, что составляет 748 139руб. 33  коп., НДС не облагается.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 предоставления обеспечения заявки на участие в закупке: не позднее даты и времени </w:t>
            </w:r>
            <w:r>
              <w:t xml:space="preserve">окончания срока подачи заявок на участие в закупке, установленные в п. 8 раздела 1 части II «ИНФОРМАЦИОННАЯ КАРТА ЗАКУПКИ. ОТБОРОЧНЫЕ КРИТЕРИИ (ТРЕБОВАНИЯ). ДОКУМЕНТЫ, СОДЕРЖАЩИЕ СВЕДЕНИЯ ДЛЯ РАССМОТРЕНИЯ И ОЦЕНКИ ПО КРИТЕРИЮ. СОСТАВ ЗАЯВКИ»</w:t>
            </w:r>
            <w:r/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</w:pPr>
            <w:r>
              <w:t xml:space="preserve">Счет Заказчик</w:t>
            </w:r>
            <w:r>
              <w:t xml:space="preserve">а для перечисления обеспечительного платежа, внесенных в качестве обеспечения заявки:</w:t>
            </w:r>
            <w:r/>
          </w:p>
          <w:p>
            <w:pPr>
              <w:jc w:val="both"/>
            </w:pPr>
            <w:r>
              <w:t xml:space="preserve">Реквизиты счета:</w:t>
            </w:r>
            <w:r/>
          </w:p>
          <w:p>
            <w:pPr>
              <w:jc w:val="both"/>
            </w:pPr>
            <w:r>
              <w:t xml:space="preserve">Получатель платежа – ПАО «Россети Ленэнерго»,</w:t>
            </w:r>
            <w:r/>
          </w:p>
          <w:p>
            <w:pPr>
              <w:jc w:val="both"/>
            </w:pPr>
            <w:r>
              <w:t xml:space="preserve">ИНН 7803002209, КПП 997650001,</w:t>
            </w:r>
            <w:r/>
          </w:p>
          <w:p>
            <w:pPr>
              <w:jc w:val="both"/>
            </w:pPr>
            <w:r>
              <w:t xml:space="preserve">№ 40702810468000006106</w:t>
            </w:r>
            <w:r/>
          </w:p>
          <w:p>
            <w:pPr>
              <w:jc w:val="both"/>
            </w:pPr>
            <w:r>
              <w:t xml:space="preserve">Ф. ОПЕРУ Банка ВТБ (ПАО) в Санкт-Петербурге</w:t>
            </w:r>
            <w:r/>
          </w:p>
          <w:p>
            <w:pPr>
              <w:jc w:val="both"/>
            </w:pPr>
            <w:r>
              <w:t xml:space="preserve">к/сч 3010</w:t>
            </w:r>
            <w:r>
              <w:t xml:space="preserve">1810200000000704</w:t>
            </w:r>
            <w:r/>
          </w:p>
          <w:p>
            <w:pPr>
              <w:jc w:val="both"/>
            </w:pPr>
            <w:r>
              <w:t xml:space="preserve">БИК  044030704.</w:t>
            </w:r>
            <w:r/>
          </w:p>
          <w:p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both"/>
            </w:pPr>
            <w:r>
              <w:t xml:space="preserve">Порядок внесения обеспечительного платежа и условия независимой гарантии, а также срок и случаи возврата обеспечения заявок установлены в разделе 3 части I «ОБЩИЕ УСЛОВИЯ ПРОВЕДЕНИЯ ЗАКУПКИ» документации о закупке.</w:t>
            </w:r>
            <w:r/>
          </w:p>
        </w:tc>
      </w:tr>
      <w:tr>
        <w:tblPrEx/>
        <w:trPr>
          <w:trHeight w:val="9492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Обеспечение исполнения договора</w:t>
            </w:r>
            <w:r>
              <w:rPr>
                <w:lang w:eastAsia="en-US"/>
              </w:rPr>
            </w:r>
          </w:p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Размер, порядок предоставления  обеспечения  исполнения договора</w:t>
            </w:r>
            <w:r>
              <w:rPr>
                <w:lang w:eastAsia="en-US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</w:pPr>
            <w:r>
              <w:t xml:space="preserve">Заказчик устанавливает требование о предоставлении обеспечения исполнения обязательств Исполнителя. Обеспечение исполнения обязательств Исполнителя может быть</w:t>
            </w:r>
            <w:r>
              <w:t xml:space="preserve"> представлено в форме внесения обеспечительного платежа или в форме независимой гарантии. Выбор способа обеспечения исполнения обязательств Исполнителя осуществляется участником, признанным Победителем закупки, самостоятельно. Предоставление обеспечения ин</w:t>
            </w:r>
            <w:r>
              <w:t xml:space="preserve">ым, не указанным в документации о закупке способом не допускается. 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Размер обеспечения исполнения обязательств Исполнителя составляет 10% от начальной (максимальной) цены договора (цены лота).</w:t>
            </w:r>
            <w:r/>
          </w:p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jc w:val="both"/>
            </w:pPr>
            <w:r>
              <w:t xml:space="preserve">Срок предоставления обеспечения исполнение договора:</w:t>
            </w:r>
            <w:r/>
          </w:p>
          <w:p>
            <w:pPr>
              <w:ind w:firstLine="284"/>
              <w:jc w:val="both"/>
            </w:pPr>
            <w:r>
              <w:t xml:space="preserve">– обеспечительный платеж предоставляется до даты заключения договора;</w:t>
            </w:r>
            <w:r/>
          </w:p>
          <w:p>
            <w:pPr>
              <w:pStyle w:val="902"/>
              <w:ind w:left="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 копия независ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имой гарантии должна быть представлена контрагентом на согласование не позднее чем через 10 (десять) рабочих дней после вступления в силу протокола подведения итогов закупки, на основании которого контрагент признан победителем закупочной процедуры, либо 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акупка признана несостоявшейся, и закупочной комиссией принято решение заключить договор с единственным участником, оригинал согласованной независимой гарантии должен быть представлен контрагентом не позднее чем за один рабочий день до заключения договора.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Порядок предоставления обеспечения исполнения  обязательств Исполнителя установлен в п.6.2. раздела 6 части I «ОБЩИЕ УСЛОВИЯ ПРОВЕДЕНИЯ ЗАКУПКИ» документации о закупке.</w:t>
            </w:r>
            <w:r/>
          </w:p>
        </w:tc>
      </w:tr>
      <w:tr>
        <w:tblPrEx/>
        <w:trPr>
          <w:trHeight w:val="1257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Отказ от проведения конкурса </w:t>
            </w:r>
            <w:r>
              <w:rPr>
                <w:lang w:eastAsia="en-US"/>
              </w:rPr>
            </w:r>
          </w:p>
        </w:tc>
        <w:tc>
          <w:tcPr>
            <w:tcW w:w="6379" w:type="dxa"/>
            <w:vAlign w:val="center"/>
            <w:textDirection w:val="lrTb"/>
            <w:noWrap w:val="false"/>
          </w:tcPr>
          <w:p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Заказчик вправе отказаться  от проведения закупки посл</w:t>
            </w:r>
            <w:r>
              <w:rPr>
                <w:lang w:eastAsia="en-US"/>
              </w:rPr>
              <w:t xml:space="preserve">е объявления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  <w:r>
              <w:rPr>
                <w:lang w:eastAsia="en-US"/>
              </w:rPr>
            </w:r>
          </w:p>
        </w:tc>
      </w:tr>
      <w:tr>
        <w:tblPrEx/>
        <w:trPr>
          <w:trHeight w:val="966"/>
        </w:trPr>
        <w:tc>
          <w:tcPr>
            <w:tcW w:w="3510" w:type="dxa"/>
            <w:vAlign w:val="center"/>
            <w:textDirection w:val="lrTb"/>
            <w:noWrap w:val="false"/>
          </w:tcPr>
          <w:p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Иная информация</w:t>
            </w:r>
            <w:r>
              <w:rPr>
                <w:lang w:eastAsia="en-US"/>
              </w:rPr>
            </w:r>
          </w:p>
        </w:tc>
        <w:tc>
          <w:tcPr>
            <w:tcW w:w="6379" w:type="dxa"/>
            <w:textDirection w:val="lrTb"/>
            <w:noWrap w:val="false"/>
          </w:tcPr>
          <w:p>
            <w:pPr>
              <w:jc w:val="both"/>
            </w:pPr>
            <w:r>
              <w:t xml:space="preserve">Остальные и более подробные условия конкурса содержатся в докумен</w:t>
            </w:r>
            <w:r>
              <w:t xml:space="preserve">тации о закупке, являющейся неотъемлемым приложением к данному Извещению.</w:t>
            </w:r>
            <w:r/>
          </w:p>
        </w:tc>
      </w:tr>
    </w:tbl>
    <w:p>
      <w:pPr>
        <w:jc w:val="both"/>
        <w:rPr>
          <w:sz w:val="30"/>
          <w:szCs w:val="30"/>
        </w:rPr>
      </w:pPr>
      <w:r>
        <w:rPr>
          <w:sz w:val="30"/>
          <w:szCs w:val="30"/>
        </w:rPr>
      </w:r>
      <w:r>
        <w:rPr>
          <w:sz w:val="30"/>
          <w:szCs w:val="30"/>
        </w:rPr>
      </w:r>
    </w:p>
    <w:p>
      <w:pPr>
        <w:pStyle w:val="899"/>
        <w:ind w:left="-142" w:firstLine="0"/>
        <w:jc w:val="both"/>
        <w:spacing w:after="0" w:line="240" w:lineRule="auto"/>
        <w:shd w:val="clear" w:color="auto" w:fill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Председатель Закупочной комиссии,</w:t>
      </w:r>
      <w:r>
        <w:rPr>
          <w:sz w:val="24"/>
          <w:szCs w:val="24"/>
          <w:lang w:val="ru-RU"/>
        </w:rPr>
      </w:r>
    </w:p>
    <w:p>
      <w:pPr>
        <w:ind w:left="-142"/>
        <w:jc w:val="both"/>
        <w:tabs>
          <w:tab w:val="left" w:pos="7371" w:leader="none"/>
          <w:tab w:val="left" w:pos="7513" w:leader="none"/>
          <w:tab w:val="left" w:pos="7797" w:leader="none"/>
        </w:tabs>
      </w:pPr>
      <w:r>
        <w:t xml:space="preserve">Исполняющий обязанности начальника департамента</w:t>
      </w:r>
      <w:r/>
    </w:p>
    <w:p>
      <w:pPr>
        <w:ind w:left="-142"/>
        <w:jc w:val="both"/>
        <w:tabs>
          <w:tab w:val="left" w:pos="7371" w:leader="none"/>
          <w:tab w:val="left" w:pos="7513" w:leader="none"/>
          <w:tab w:val="left" w:pos="7797" w:leader="none"/>
        </w:tabs>
      </w:pPr>
      <w:r>
        <w:t xml:space="preserve">логистики и МТО ПАО «Россети</w:t>
      </w:r>
      <w:r>
        <w:t xml:space="preserve"> Ленэнерго»                                                    С.Е. Бечик</w:t>
      </w:r>
      <w:r/>
    </w:p>
    <w:p>
      <w:pPr>
        <w:ind w:left="-142"/>
        <w:jc w:val="both"/>
      </w:pPr>
      <w:r/>
      <w:r/>
    </w:p>
    <w:p>
      <w:pPr>
        <w:ind w:left="-142"/>
        <w:jc w:val="both"/>
      </w:pPr>
      <w:r/>
      <w:r/>
    </w:p>
    <w:p>
      <w:pPr>
        <w:ind w:left="-142"/>
        <w:jc w:val="both"/>
      </w:pPr>
      <w:r>
        <w:t xml:space="preserve">Ответственный секретарь,</w:t>
      </w:r>
      <w:r/>
    </w:p>
    <w:p>
      <w:pPr>
        <w:ind w:left="-142"/>
        <w:jc w:val="both"/>
      </w:pPr>
      <w:r>
        <w:t xml:space="preserve">Главный специалист отдела</w:t>
      </w:r>
      <w:r/>
    </w:p>
    <w:p>
      <w:pPr>
        <w:ind w:left="-142"/>
        <w:jc w:val="both"/>
      </w:pPr>
      <w:r>
        <w:t xml:space="preserve">подготовки и проведения конкурсов</w:t>
      </w:r>
      <w:r/>
    </w:p>
    <w:p>
      <w:pPr>
        <w:ind w:left="-142"/>
        <w:jc w:val="both"/>
      </w:pPr>
      <w:r>
        <w:t xml:space="preserve">ПАО «Россети Ленэнерго»                                                                        </w:t>
      </w:r>
      <w:r>
        <w:t xml:space="preserve">           И.А.Емец</w:t>
      </w:r>
      <w:bookmarkStart w:id="0" w:name="_GoBack"/>
      <w:r/>
      <w:bookmarkEnd w:id="0"/>
      <w:r/>
      <w:r/>
    </w:p>
    <w:sectPr>
      <w:footerReference w:type="default" r:id="rId9"/>
      <w:footnotePr/>
      <w:endnotePr/>
      <w:type w:val="nextPage"/>
      <w:pgSz w:w="11906" w:h="16838" w:orient="portrait"/>
      <w:pgMar w:top="988" w:right="850" w:bottom="993" w:left="1701" w:header="708" w:footer="22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</w:font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9"/>
      <w:jc w:val="center"/>
      <w:rPr>
        <w:rFonts w:ascii="Times" w:hAnsi="Times"/>
      </w:rPr>
    </w:pPr>
    <w:r>
      <w:rPr>
        <w:rFonts w:ascii="Times" w:hAnsi="Times"/>
      </w:rPr>
      <w:t xml:space="preserve">Страница </w:t>
    </w:r>
    <w:r>
      <w:rPr>
        <w:rFonts w:ascii="Times" w:hAnsi="Times"/>
      </w:rPr>
      <w:fldChar w:fldCharType="begin"/>
    </w:r>
    <w:r>
      <w:rPr>
        <w:rFonts w:ascii="Times" w:hAnsi="Times"/>
      </w:rPr>
      <w:instrText xml:space="preserve">PAGE</w:instrText>
    </w:r>
    <w:r>
      <w:rPr>
        <w:rFonts w:ascii="Times" w:hAnsi="Times"/>
      </w:rPr>
      <w:fldChar w:fldCharType="separate"/>
    </w:r>
    <w:r>
      <w:rPr>
        <w:rFonts w:ascii="Times" w:hAnsi="Times"/>
      </w:rPr>
      <w:t xml:space="preserve">6</w:t>
    </w:r>
    <w:r>
      <w:rPr>
        <w:rFonts w:ascii="Times" w:hAnsi="Times"/>
      </w:rPr>
      <w:fldChar w:fldCharType="end"/>
    </w:r>
    <w:r>
      <w:rPr>
        <w:rFonts w:ascii="Times" w:hAnsi="Times"/>
      </w:rPr>
      <w:t xml:space="preserve"> из </w:t>
    </w:r>
    <w:r>
      <w:rPr>
        <w:rFonts w:ascii="Times" w:hAnsi="Times"/>
      </w:rPr>
      <w:fldChar w:fldCharType="begin"/>
    </w:r>
    <w:r>
      <w:rPr>
        <w:rFonts w:ascii="Times" w:hAnsi="Times"/>
      </w:rPr>
      <w:instrText xml:space="preserve">NUMPAGES</w:instrText>
    </w:r>
    <w:r>
      <w:rPr>
        <w:rFonts w:ascii="Times" w:hAnsi="Times"/>
      </w:rPr>
      <w:fldChar w:fldCharType="separate"/>
    </w:r>
    <w:r>
      <w:rPr>
        <w:rFonts w:ascii="Times" w:hAnsi="Times"/>
      </w:rPr>
      <w:t xml:space="preserve">6</w:t>
    </w:r>
    <w:r>
      <w:rPr>
        <w:rFonts w:ascii="Times" w:hAnsi="Times"/>
      </w:rPr>
      <w:fldChar w:fldCharType="end"/>
    </w:r>
    <w:r>
      <w:rPr>
        <w:rFonts w:ascii="Times" w:hAnsi="Times"/>
      </w:rPr>
    </w:r>
  </w:p>
  <w:p>
    <w:pPr>
      <w:pStyle w:val="71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</w:pPr>
      <w:rPr>
        <w:rFonts w:ascii="Symbol" w:hAnsi="Symbol"/>
        <w:strike w:val="0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pStyle w:val="884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pStyle w:val="867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pStyle w:val="868"/>
      <w:isLgl w:val="false"/>
      <w:suff w:val="tab"/>
      <w:lvlText w:val="%1.%2.%3.%4"/>
      <w:lvlJc w:val="left"/>
      <w:pPr>
        <w:ind w:left="1664" w:hanging="864"/>
        <w:tabs>
          <w:tab w:val="num" w:pos="1664" w:leader="none"/>
        </w:tabs>
      </w:pPr>
    </w:lvl>
    <w:lvl w:ilvl="4">
      <w:start w:val="1"/>
      <w:numFmt w:val="decimal"/>
      <w:pStyle w:val="869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pStyle w:val="691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pStyle w:val="692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pStyle w:val="693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pStyle w:val="694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9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pStyle w:val="883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18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35">
    <w:name w:val="Title Char"/>
    <w:basedOn w:val="695"/>
    <w:link w:val="709"/>
    <w:uiPriority w:val="10"/>
    <w:rPr>
      <w:sz w:val="48"/>
      <w:szCs w:val="48"/>
    </w:rPr>
  </w:style>
  <w:style w:type="character" w:styleId="37">
    <w:name w:val="Subtitle Char"/>
    <w:basedOn w:val="695"/>
    <w:link w:val="711"/>
    <w:uiPriority w:val="11"/>
    <w:rPr>
      <w:sz w:val="24"/>
      <w:szCs w:val="24"/>
    </w:rPr>
  </w:style>
  <w:style w:type="character" w:styleId="39">
    <w:name w:val="Quote Char"/>
    <w:link w:val="713"/>
    <w:uiPriority w:val="29"/>
    <w:rPr>
      <w:i/>
    </w:rPr>
  </w:style>
  <w:style w:type="character" w:styleId="41">
    <w:name w:val="Intense Quote Char"/>
    <w:link w:val="715"/>
    <w:uiPriority w:val="30"/>
    <w:rPr>
      <w:i/>
    </w:rPr>
  </w:style>
  <w:style w:type="character" w:styleId="176">
    <w:name w:val="Footnote Text Char"/>
    <w:link w:val="850"/>
    <w:uiPriority w:val="99"/>
    <w:rPr>
      <w:sz w:val="18"/>
    </w:rPr>
  </w:style>
  <w:style w:type="character" w:styleId="179">
    <w:name w:val="Endnote Text Char"/>
    <w:link w:val="853"/>
    <w:uiPriority w:val="99"/>
    <w:rPr>
      <w:sz w:val="20"/>
    </w:rPr>
  </w:style>
  <w:style w:type="paragraph" w:styleId="685" w:default="1">
    <w:name w:val="Normal"/>
    <w:qFormat/>
    <w:rPr>
      <w:rFonts w:ascii="Times New Roman" w:hAnsi="Times New Roman" w:eastAsia="Times New Roman"/>
      <w:sz w:val="24"/>
      <w:szCs w:val="24"/>
      <w:lang w:eastAsia="ru-RU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5"/>
    <w:next w:val="685"/>
    <w:link w:val="87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91">
    <w:name w:val="Heading 6"/>
    <w:basedOn w:val="685"/>
    <w:next w:val="685"/>
    <w:link w:val="874"/>
    <w:qFormat/>
    <w:pPr>
      <w:numPr>
        <w:ilvl w:val="5"/>
        <w:numId w:val="1"/>
      </w:numPr>
      <w:jc w:val="both"/>
      <w:spacing w:before="240" w:after="60"/>
      <w:outlineLvl w:val="5"/>
    </w:pPr>
    <w:rPr>
      <w:i/>
      <w:sz w:val="20"/>
      <w:szCs w:val="20"/>
      <w:lang w:val="en-US"/>
    </w:rPr>
  </w:style>
  <w:style w:type="paragraph" w:styleId="692">
    <w:name w:val="Heading 7"/>
    <w:basedOn w:val="685"/>
    <w:next w:val="685"/>
    <w:link w:val="875"/>
    <w:qFormat/>
    <w:pPr>
      <w:numPr>
        <w:ilvl w:val="6"/>
        <w:numId w:val="1"/>
      </w:numPr>
      <w:jc w:val="both"/>
      <w:spacing w:before="240" w:after="60"/>
      <w:outlineLvl w:val="6"/>
    </w:pPr>
    <w:rPr>
      <w:rFonts w:ascii="Arial" w:hAnsi="Arial"/>
      <w:sz w:val="20"/>
      <w:szCs w:val="20"/>
      <w:lang w:val="en-US" w:eastAsia="en-US"/>
    </w:rPr>
  </w:style>
  <w:style w:type="paragraph" w:styleId="693">
    <w:name w:val="Heading 8"/>
    <w:basedOn w:val="685"/>
    <w:next w:val="685"/>
    <w:link w:val="876"/>
    <w:qFormat/>
    <w:pPr>
      <w:numPr>
        <w:ilvl w:val="7"/>
        <w:numId w:val="1"/>
      </w:numPr>
      <w:jc w:val="both"/>
      <w:spacing w:before="240" w:after="60"/>
      <w:outlineLvl w:val="7"/>
    </w:pPr>
    <w:rPr>
      <w:rFonts w:ascii="Arial" w:hAnsi="Arial"/>
      <w:i/>
      <w:sz w:val="20"/>
      <w:szCs w:val="20"/>
      <w:lang w:val="en-US"/>
    </w:rPr>
  </w:style>
  <w:style w:type="paragraph" w:styleId="694">
    <w:name w:val="Heading 9"/>
    <w:basedOn w:val="685"/>
    <w:next w:val="685"/>
    <w:link w:val="877"/>
    <w:qFormat/>
    <w:pPr>
      <w:numPr>
        <w:ilvl w:val="8"/>
        <w:numId w:val="1"/>
      </w:numPr>
      <w:jc w:val="both"/>
      <w:spacing w:before="240" w:after="60"/>
      <w:outlineLvl w:val="8"/>
    </w:pPr>
    <w:rPr>
      <w:rFonts w:ascii="Arial" w:hAnsi="Arial"/>
      <w:b/>
      <w:i/>
      <w:sz w:val="18"/>
      <w:szCs w:val="20"/>
      <w:lang w:val="en-US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link w:val="686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Heading 2 Char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1"/>
    <w:link w:val="688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1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1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List Paragraph"/>
    <w:basedOn w:val="685"/>
    <w:uiPriority w:val="34"/>
    <w:qFormat/>
    <w:pPr>
      <w:contextualSpacing/>
      <w:ind w:left="720"/>
    </w:pPr>
  </w:style>
  <w:style w:type="paragraph" w:styleId="708">
    <w:name w:val="No Spacing"/>
    <w:uiPriority w:val="1"/>
    <w:qFormat/>
  </w:style>
  <w:style w:type="paragraph" w:styleId="709">
    <w:name w:val="Title"/>
    <w:basedOn w:val="685"/>
    <w:next w:val="685"/>
    <w:link w:val="71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0" w:customStyle="1">
    <w:name w:val="Заголовок Знак"/>
    <w:link w:val="709"/>
    <w:uiPriority w:val="10"/>
    <w:rPr>
      <w:sz w:val="48"/>
      <w:szCs w:val="48"/>
    </w:rPr>
  </w:style>
  <w:style w:type="paragraph" w:styleId="711">
    <w:name w:val="Subtitle"/>
    <w:basedOn w:val="685"/>
    <w:next w:val="685"/>
    <w:link w:val="712"/>
    <w:uiPriority w:val="11"/>
    <w:qFormat/>
    <w:pPr>
      <w:spacing w:before="200" w:after="200"/>
    </w:pPr>
  </w:style>
  <w:style w:type="character" w:styleId="712" w:customStyle="1">
    <w:name w:val="Подзаголовок Знак"/>
    <w:link w:val="711"/>
    <w:uiPriority w:val="11"/>
    <w:rPr>
      <w:sz w:val="24"/>
      <w:szCs w:val="24"/>
    </w:rPr>
  </w:style>
  <w:style w:type="paragraph" w:styleId="713">
    <w:name w:val="Quote"/>
    <w:basedOn w:val="685"/>
    <w:next w:val="685"/>
    <w:link w:val="714"/>
    <w:uiPriority w:val="29"/>
    <w:qFormat/>
    <w:pPr>
      <w:ind w:left="720" w:right="720"/>
    </w:pPr>
    <w:rPr>
      <w:i/>
    </w:rPr>
  </w:style>
  <w:style w:type="character" w:styleId="714" w:customStyle="1">
    <w:name w:val="Цитата 2 Знак"/>
    <w:link w:val="713"/>
    <w:uiPriority w:val="29"/>
    <w:rPr>
      <w:i/>
    </w:rPr>
  </w:style>
  <w:style w:type="paragraph" w:styleId="715">
    <w:name w:val="Intense Quote"/>
    <w:basedOn w:val="685"/>
    <w:next w:val="685"/>
    <w:link w:val="71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6" w:customStyle="1">
    <w:name w:val="Выделенная цитата Знак"/>
    <w:link w:val="715"/>
    <w:uiPriority w:val="30"/>
    <w:rPr>
      <w:i/>
    </w:rPr>
  </w:style>
  <w:style w:type="paragraph" w:styleId="717">
    <w:name w:val="Header"/>
    <w:basedOn w:val="685"/>
    <w:link w:val="889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718" w:customStyle="1">
    <w:name w:val="Header Char"/>
    <w:uiPriority w:val="99"/>
  </w:style>
  <w:style w:type="paragraph" w:styleId="719">
    <w:name w:val="Footer"/>
    <w:basedOn w:val="685"/>
    <w:link w:val="890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  <w:lang w:val="en-US" w:eastAsia="en-US"/>
    </w:rPr>
  </w:style>
  <w:style w:type="character" w:styleId="720" w:customStyle="1">
    <w:name w:val="Footer Char"/>
    <w:uiPriority w:val="99"/>
  </w:style>
  <w:style w:type="paragraph" w:styleId="721">
    <w:name w:val="Caption"/>
    <w:basedOn w:val="685"/>
    <w:next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2" w:customStyle="1">
    <w:name w:val="Caption Char"/>
    <w:uiPriority w:val="99"/>
  </w:style>
  <w:style w:type="table" w:styleId="72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9">
    <w:name w:val="Hyperlink"/>
    <w:uiPriority w:val="99"/>
    <w:rPr>
      <w:color w:val="0000ff"/>
      <w:u w:val="single"/>
    </w:rPr>
  </w:style>
  <w:style w:type="paragraph" w:styleId="850">
    <w:name w:val="footnote text"/>
    <w:basedOn w:val="685"/>
    <w:link w:val="851"/>
    <w:uiPriority w:val="99"/>
    <w:semiHidden/>
    <w:unhideWhenUsed/>
    <w:pPr>
      <w:spacing w:after="40"/>
    </w:pPr>
    <w:rPr>
      <w:sz w:val="18"/>
    </w:rPr>
  </w:style>
  <w:style w:type="character" w:styleId="851" w:customStyle="1">
    <w:name w:val="Текст сноски Знак"/>
    <w:link w:val="850"/>
    <w:uiPriority w:val="99"/>
    <w:rPr>
      <w:sz w:val="18"/>
    </w:rPr>
  </w:style>
  <w:style w:type="character" w:styleId="852">
    <w:name w:val="footnote reference"/>
    <w:uiPriority w:val="99"/>
    <w:unhideWhenUsed/>
    <w:rPr>
      <w:vertAlign w:val="superscript"/>
    </w:rPr>
  </w:style>
  <w:style w:type="paragraph" w:styleId="853">
    <w:name w:val="endnote text"/>
    <w:basedOn w:val="685"/>
    <w:link w:val="854"/>
    <w:uiPriority w:val="99"/>
    <w:semiHidden/>
    <w:unhideWhenUsed/>
    <w:rPr>
      <w:sz w:val="20"/>
    </w:rPr>
  </w:style>
  <w:style w:type="character" w:styleId="854" w:customStyle="1">
    <w:name w:val="Текст концевой сноски Знак"/>
    <w:link w:val="853"/>
    <w:uiPriority w:val="99"/>
    <w:rPr>
      <w:sz w:val="20"/>
    </w:rPr>
  </w:style>
  <w:style w:type="character" w:styleId="855">
    <w:name w:val="endnote reference"/>
    <w:uiPriority w:val="99"/>
    <w:semiHidden/>
    <w:unhideWhenUsed/>
    <w:rPr>
      <w:vertAlign w:val="superscript"/>
    </w:rPr>
  </w:style>
  <w:style w:type="paragraph" w:styleId="856">
    <w:name w:val="toc 1"/>
    <w:basedOn w:val="685"/>
    <w:next w:val="685"/>
    <w:uiPriority w:val="39"/>
    <w:unhideWhenUsed/>
    <w:pPr>
      <w:spacing w:after="57"/>
    </w:pPr>
  </w:style>
  <w:style w:type="paragraph" w:styleId="857">
    <w:name w:val="toc 2"/>
    <w:basedOn w:val="685"/>
    <w:next w:val="685"/>
    <w:uiPriority w:val="39"/>
    <w:unhideWhenUsed/>
    <w:pPr>
      <w:ind w:left="283"/>
      <w:spacing w:after="57"/>
    </w:pPr>
  </w:style>
  <w:style w:type="paragraph" w:styleId="858">
    <w:name w:val="toc 3"/>
    <w:basedOn w:val="685"/>
    <w:next w:val="685"/>
    <w:uiPriority w:val="39"/>
    <w:unhideWhenUsed/>
    <w:pPr>
      <w:ind w:left="567"/>
      <w:spacing w:after="57"/>
    </w:pPr>
  </w:style>
  <w:style w:type="paragraph" w:styleId="859">
    <w:name w:val="toc 4"/>
    <w:basedOn w:val="685"/>
    <w:next w:val="685"/>
    <w:uiPriority w:val="39"/>
    <w:unhideWhenUsed/>
    <w:pPr>
      <w:ind w:left="850"/>
      <w:spacing w:after="57"/>
    </w:pPr>
  </w:style>
  <w:style w:type="paragraph" w:styleId="860">
    <w:name w:val="toc 5"/>
    <w:basedOn w:val="685"/>
    <w:next w:val="685"/>
    <w:uiPriority w:val="39"/>
    <w:unhideWhenUsed/>
    <w:pPr>
      <w:ind w:left="1134"/>
      <w:spacing w:after="57"/>
    </w:pPr>
  </w:style>
  <w:style w:type="paragraph" w:styleId="861">
    <w:name w:val="toc 6"/>
    <w:basedOn w:val="685"/>
    <w:next w:val="685"/>
    <w:uiPriority w:val="39"/>
    <w:unhideWhenUsed/>
    <w:pPr>
      <w:ind w:left="1417"/>
      <w:spacing w:after="57"/>
    </w:pPr>
  </w:style>
  <w:style w:type="paragraph" w:styleId="862">
    <w:name w:val="toc 7"/>
    <w:basedOn w:val="685"/>
    <w:next w:val="685"/>
    <w:uiPriority w:val="39"/>
    <w:unhideWhenUsed/>
    <w:pPr>
      <w:ind w:left="1701"/>
      <w:spacing w:after="57"/>
    </w:pPr>
  </w:style>
  <w:style w:type="paragraph" w:styleId="863">
    <w:name w:val="toc 8"/>
    <w:basedOn w:val="685"/>
    <w:next w:val="685"/>
    <w:uiPriority w:val="39"/>
    <w:unhideWhenUsed/>
    <w:pPr>
      <w:ind w:left="1984"/>
      <w:spacing w:after="57"/>
    </w:pPr>
  </w:style>
  <w:style w:type="paragraph" w:styleId="864">
    <w:name w:val="toc 9"/>
    <w:basedOn w:val="685"/>
    <w:next w:val="685"/>
    <w:uiPriority w:val="39"/>
    <w:unhideWhenUsed/>
    <w:pPr>
      <w:ind w:left="2268"/>
      <w:spacing w:after="57"/>
    </w:pPr>
  </w:style>
  <w:style w:type="paragraph" w:styleId="865">
    <w:name w:val="TOC Heading"/>
    <w:uiPriority w:val="39"/>
    <w:unhideWhenUsed/>
  </w:style>
  <w:style w:type="paragraph" w:styleId="866">
    <w:name w:val="table of figures"/>
    <w:basedOn w:val="685"/>
    <w:next w:val="685"/>
    <w:uiPriority w:val="99"/>
    <w:unhideWhenUsed/>
  </w:style>
  <w:style w:type="paragraph" w:styleId="867" w:customStyle="1">
    <w:name w:val="Заголовок 3;H3;h3;Head 3;l3+toc 3;heading 3;CT;Sub-section Title;l3"/>
    <w:basedOn w:val="685"/>
    <w:next w:val="685"/>
    <w:link w:val="871"/>
    <w:qFormat/>
    <w:pPr>
      <w:numPr>
        <w:ilvl w:val="2"/>
        <w:numId w:val="1"/>
      </w:numPr>
      <w:jc w:val="both"/>
      <w:keepNext/>
      <w:spacing w:before="240" w:after="60"/>
      <w:outlineLvl w:val="2"/>
    </w:pPr>
    <w:rPr>
      <w:rFonts w:ascii="Arial" w:hAnsi="Arial"/>
      <w:b/>
      <w:szCs w:val="20"/>
      <w:lang w:val="en-US"/>
    </w:rPr>
  </w:style>
  <w:style w:type="paragraph" w:styleId="868" w:customStyle="1">
    <w:name w:val="Заголовок 4;H4"/>
    <w:basedOn w:val="685"/>
    <w:next w:val="685"/>
    <w:link w:val="872"/>
    <w:qFormat/>
    <w:pPr>
      <w:numPr>
        <w:ilvl w:val="3"/>
        <w:numId w:val="1"/>
      </w:numPr>
      <w:jc w:val="both"/>
      <w:keepNext/>
      <w:spacing w:before="240" w:after="60"/>
      <w:outlineLvl w:val="3"/>
    </w:pPr>
    <w:rPr>
      <w:rFonts w:ascii="Arial" w:hAnsi="Arial"/>
      <w:szCs w:val="20"/>
      <w:lang w:val="en-US"/>
    </w:rPr>
  </w:style>
  <w:style w:type="paragraph" w:styleId="869" w:customStyle="1">
    <w:name w:val="Заголовок 5;H5"/>
    <w:basedOn w:val="685"/>
    <w:next w:val="685"/>
    <w:link w:val="873"/>
    <w:qFormat/>
    <w:pPr>
      <w:numPr>
        <w:ilvl w:val="4"/>
        <w:numId w:val="1"/>
      </w:numPr>
      <w:jc w:val="both"/>
      <w:spacing w:before="240" w:after="60"/>
      <w:outlineLvl w:val="4"/>
    </w:pPr>
    <w:rPr>
      <w:sz w:val="20"/>
      <w:szCs w:val="20"/>
      <w:lang w:val="en-US"/>
    </w:rPr>
  </w:style>
  <w:style w:type="character" w:styleId="870" w:customStyle="1">
    <w:name w:val="Заголовок 2 Знак"/>
    <w:link w:val="687"/>
    <w:uiPriority w:val="9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71" w:customStyle="1">
    <w:name w:val="Заголовок 3 Знак"/>
    <w:link w:val="867"/>
    <w:rPr>
      <w:rFonts w:ascii="Arial" w:hAnsi="Arial" w:eastAsia="Times New Roman"/>
      <w:b/>
      <w:sz w:val="24"/>
      <w:lang w:val="en-US"/>
    </w:rPr>
  </w:style>
  <w:style w:type="character" w:styleId="872" w:customStyle="1">
    <w:name w:val="Заголовок 4 Знак"/>
    <w:link w:val="868"/>
    <w:rPr>
      <w:rFonts w:ascii="Arial" w:hAnsi="Arial" w:eastAsia="Times New Roman"/>
      <w:sz w:val="24"/>
      <w:lang w:val="en-US"/>
    </w:rPr>
  </w:style>
  <w:style w:type="character" w:styleId="873" w:customStyle="1">
    <w:name w:val="Заголовок 5 Знак"/>
    <w:link w:val="869"/>
    <w:rPr>
      <w:rFonts w:ascii="Times New Roman" w:hAnsi="Times New Roman" w:eastAsia="Times New Roman"/>
      <w:lang w:val="en-US"/>
    </w:rPr>
  </w:style>
  <w:style w:type="character" w:styleId="874" w:customStyle="1">
    <w:name w:val="Заголовок 6 Знак"/>
    <w:link w:val="691"/>
    <w:rPr>
      <w:rFonts w:ascii="Times New Roman" w:hAnsi="Times New Roman" w:eastAsia="Times New Roman"/>
      <w:i/>
      <w:lang w:val="en-US"/>
    </w:rPr>
  </w:style>
  <w:style w:type="character" w:styleId="875" w:customStyle="1">
    <w:name w:val="Заголовок 7 Знак"/>
    <w:link w:val="692"/>
    <w:rPr>
      <w:rFonts w:ascii="Arial" w:hAnsi="Arial" w:eastAsia="Times New Roman"/>
      <w:lang w:val="en-US" w:eastAsia="en-US"/>
    </w:rPr>
  </w:style>
  <w:style w:type="character" w:styleId="876" w:customStyle="1">
    <w:name w:val="Заголовок 8 Знак"/>
    <w:link w:val="693"/>
    <w:rPr>
      <w:rFonts w:ascii="Arial" w:hAnsi="Arial" w:eastAsia="Times New Roman"/>
      <w:i/>
      <w:lang w:val="en-US"/>
    </w:rPr>
  </w:style>
  <w:style w:type="character" w:styleId="877" w:customStyle="1">
    <w:name w:val="Заголовок 9 Знак"/>
    <w:link w:val="694"/>
    <w:rPr>
      <w:rFonts w:ascii="Arial" w:hAnsi="Arial" w:eastAsia="Times New Roman"/>
      <w:b/>
      <w:i/>
      <w:sz w:val="18"/>
      <w:lang w:val="en-US"/>
    </w:rPr>
  </w:style>
  <w:style w:type="character" w:styleId="878" w:customStyle="1">
    <w:name w:val="Стиль3 Знак Знак"/>
    <w:link w:val="87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79" w:customStyle="1">
    <w:name w:val="Стиль3 Знак"/>
    <w:basedOn w:val="685"/>
    <w:next w:val="902"/>
    <w:link w:val="878"/>
    <w:pPr>
      <w:jc w:val="both"/>
      <w:widowControl w:val="off"/>
      <w:tabs>
        <w:tab w:val="num" w:pos="227" w:leader="none"/>
      </w:tabs>
    </w:pPr>
    <w:rPr>
      <w:szCs w:val="20"/>
      <w:lang w:val="en-US"/>
    </w:rPr>
  </w:style>
  <w:style w:type="paragraph" w:styleId="880" w:customStyle="1">
    <w:name w:val="Обычный (веб);Обычный (Web);Обычный (веб) Знак Знак;Обычный (Web) Знак Знак Знак"/>
    <w:basedOn w:val="685"/>
    <w:link w:val="904"/>
    <w:uiPriority w:val="99"/>
    <w:unhideWhenUsed/>
    <w:qFormat/>
    <w:pPr>
      <w:spacing w:after="240"/>
    </w:pPr>
  </w:style>
  <w:style w:type="character" w:styleId="881">
    <w:name w:val="Strong"/>
    <w:uiPriority w:val="22"/>
    <w:qFormat/>
    <w:rPr>
      <w:b/>
      <w:bCs/>
    </w:rPr>
  </w:style>
  <w:style w:type="paragraph" w:styleId="882">
    <w:name w:val="List Number"/>
    <w:basedOn w:val="685"/>
    <w:pPr>
      <w:jc w:val="both"/>
      <w:spacing w:before="60" w:line="360" w:lineRule="auto"/>
    </w:pPr>
    <w:rPr>
      <w:sz w:val="28"/>
    </w:rPr>
  </w:style>
  <w:style w:type="paragraph" w:styleId="883" w:customStyle="1">
    <w:name w:val="Подпункт"/>
    <w:basedOn w:val="685"/>
    <w:pPr>
      <w:numPr>
        <w:ilvl w:val="3"/>
        <w:numId w:val="3"/>
      </w:numPr>
      <w:jc w:val="both"/>
      <w:spacing w:line="360" w:lineRule="auto"/>
    </w:pPr>
    <w:rPr>
      <w:sz w:val="28"/>
      <w:szCs w:val="20"/>
    </w:rPr>
  </w:style>
  <w:style w:type="paragraph" w:styleId="884" w:customStyle="1">
    <w:name w:val="Подподпункт"/>
    <w:basedOn w:val="685"/>
    <w:link w:val="887"/>
    <w:uiPriority w:val="99"/>
    <w:pPr>
      <w:numPr>
        <w:ilvl w:val="4"/>
        <w:numId w:val="2"/>
      </w:numPr>
      <w:jc w:val="both"/>
      <w:spacing w:line="360" w:lineRule="auto"/>
    </w:pPr>
    <w:rPr>
      <w:sz w:val="28"/>
      <w:szCs w:val="20"/>
      <w:lang w:val="en-US" w:eastAsia="en-US"/>
    </w:rPr>
  </w:style>
  <w:style w:type="paragraph" w:styleId="885">
    <w:name w:val="Body Text 2"/>
    <w:basedOn w:val="685"/>
    <w:link w:val="886"/>
    <w:pPr>
      <w:ind w:firstLine="567"/>
      <w:jc w:val="both"/>
      <w:spacing w:after="120" w:line="480" w:lineRule="auto"/>
    </w:pPr>
    <w:rPr>
      <w:sz w:val="28"/>
      <w:szCs w:val="20"/>
      <w:lang w:val="en-US"/>
    </w:rPr>
  </w:style>
  <w:style w:type="character" w:styleId="886" w:customStyle="1">
    <w:name w:val="Основной текст 2 Знак"/>
    <w:link w:val="88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87" w:customStyle="1">
    <w:name w:val="Подподпункт Знак"/>
    <w:link w:val="884"/>
    <w:uiPriority w:val="99"/>
    <w:rPr>
      <w:rFonts w:ascii="Times New Roman" w:hAnsi="Times New Roman" w:eastAsia="Times New Roman"/>
      <w:sz w:val="28"/>
      <w:lang w:val="en-US" w:eastAsia="en-US"/>
    </w:rPr>
  </w:style>
  <w:style w:type="character" w:styleId="888" w:customStyle="1">
    <w:name w:val="комментарий"/>
    <w:uiPriority w:val="99"/>
    <w:rPr>
      <w:b/>
      <w:i/>
      <w:shd w:val="clear" w:color="auto" w:fill="ffff99"/>
    </w:rPr>
  </w:style>
  <w:style w:type="character" w:styleId="889" w:customStyle="1">
    <w:name w:val="Верхний колонтитул Знак"/>
    <w:link w:val="717"/>
    <w:uiPriority w:val="99"/>
    <w:rPr>
      <w:rFonts w:ascii="Calibri" w:hAnsi="Calibri" w:eastAsia="Calibri" w:cs="Times New Roman"/>
    </w:rPr>
  </w:style>
  <w:style w:type="character" w:styleId="890" w:customStyle="1">
    <w:name w:val="Нижний колонтитул Знак"/>
    <w:link w:val="719"/>
    <w:uiPriority w:val="99"/>
    <w:rPr>
      <w:rFonts w:ascii="Calibri" w:hAnsi="Calibri" w:eastAsia="Calibri" w:cs="Times New Roman"/>
    </w:rPr>
  </w:style>
  <w:style w:type="paragraph" w:styleId="891">
    <w:name w:val="Balloon Text"/>
    <w:basedOn w:val="685"/>
    <w:link w:val="892"/>
    <w:uiPriority w:val="99"/>
    <w:semiHidden/>
    <w:unhideWhenUsed/>
    <w:rPr>
      <w:rFonts w:ascii="Tahoma" w:hAnsi="Tahoma"/>
      <w:sz w:val="16"/>
      <w:szCs w:val="16"/>
      <w:lang w:val="en-US"/>
    </w:rPr>
  </w:style>
  <w:style w:type="character" w:styleId="892" w:customStyle="1">
    <w:name w:val="Текст выноски Знак"/>
    <w:link w:val="891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93">
    <w:name w:val="Body Text"/>
    <w:basedOn w:val="685"/>
    <w:link w:val="894"/>
    <w:uiPriority w:val="99"/>
    <w:unhideWhenUsed/>
    <w:pPr>
      <w:spacing w:after="120"/>
    </w:pPr>
    <w:rPr>
      <w:lang w:val="en-US"/>
    </w:rPr>
  </w:style>
  <w:style w:type="character" w:styleId="894" w:customStyle="1">
    <w:name w:val="Основной текст Знак"/>
    <w:link w:val="893"/>
    <w:uiPriority w:val="99"/>
    <w:rPr>
      <w:sz w:val="22"/>
      <w:szCs w:val="22"/>
      <w:lang w:eastAsia="en-US"/>
    </w:rPr>
  </w:style>
  <w:style w:type="paragraph" w:styleId="895">
    <w:name w:val="Body Text Indent"/>
    <w:basedOn w:val="685"/>
    <w:link w:val="896"/>
    <w:uiPriority w:val="99"/>
    <w:semiHidden/>
    <w:unhideWhenUsed/>
    <w:pPr>
      <w:ind w:left="283"/>
      <w:spacing w:after="120"/>
    </w:pPr>
  </w:style>
  <w:style w:type="character" w:styleId="896" w:customStyle="1">
    <w:name w:val="Основной текст с отступом Знак"/>
    <w:link w:val="895"/>
    <w:uiPriority w:val="99"/>
    <w:semiHidden/>
    <w:rPr>
      <w:sz w:val="22"/>
      <w:szCs w:val="22"/>
      <w:lang w:eastAsia="en-US"/>
    </w:rPr>
  </w:style>
  <w:style w:type="character" w:styleId="897" w:customStyle="1">
    <w:name w:val="Основной текст1"/>
    <w:rPr>
      <w:rFonts w:ascii="Times New Roman" w:hAnsi="Times New Roman" w:eastAsia="Times New Roman" w:cs="Times New Roman"/>
      <w:color w:val="000000"/>
      <w:spacing w:val="0"/>
      <w:position w:val="0"/>
      <w:sz w:val="18"/>
      <w:szCs w:val="18"/>
      <w:u w:val="none"/>
      <w:shd w:val="clear" w:color="auto" w:fill="ffffff"/>
      <w:lang w:val="ru-RU"/>
    </w:rPr>
  </w:style>
  <w:style w:type="character" w:styleId="898" w:customStyle="1">
    <w:name w:val="Основной текст_"/>
    <w:link w:val="899"/>
    <w:rPr>
      <w:sz w:val="18"/>
      <w:szCs w:val="18"/>
      <w:shd w:val="clear" w:color="auto" w:fill="ffffff"/>
    </w:rPr>
  </w:style>
  <w:style w:type="paragraph" w:styleId="899" w:customStyle="1">
    <w:name w:val="Основной текст2"/>
    <w:basedOn w:val="685"/>
    <w:link w:val="898"/>
    <w:pPr>
      <w:ind w:firstLine="2280"/>
      <w:spacing w:after="240" w:line="235" w:lineRule="exact"/>
      <w:shd w:val="clear" w:color="auto" w:fill="ffffff"/>
      <w:widowControl w:val="off"/>
    </w:pPr>
    <w:rPr>
      <w:sz w:val="18"/>
      <w:szCs w:val="18"/>
      <w:lang w:val="en-US" w:eastAsia="en-US"/>
    </w:rPr>
  </w:style>
  <w:style w:type="paragraph" w:styleId="900" w:customStyle="1">
    <w:name w:val="Default"/>
    <w:rPr>
      <w:rFonts w:ascii="Times New Roman" w:hAnsi="Times New Roman" w:eastAsia="Times New Roman"/>
      <w:color w:val="000000"/>
      <w:sz w:val="24"/>
      <w:szCs w:val="24"/>
      <w:lang w:eastAsia="ru-RU"/>
    </w:rPr>
  </w:style>
  <w:style w:type="character" w:styleId="901">
    <w:name w:val="FollowedHyperlink"/>
    <w:uiPriority w:val="99"/>
    <w:semiHidden/>
    <w:unhideWhenUsed/>
    <w:rPr>
      <w:color w:val="800080"/>
      <w:u w:val="single"/>
    </w:rPr>
  </w:style>
  <w:style w:type="paragraph" w:styleId="902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Нумерованный спиков;UL"/>
    <w:basedOn w:val="685"/>
    <w:link w:val="903"/>
    <w:uiPriority w:val="34"/>
    <w:qFormat/>
    <w:pPr>
      <w:contextualSpacing/>
      <w:ind w:left="720"/>
      <w:widowControl w:val="off"/>
    </w:pPr>
    <w:rPr>
      <w:rFonts w:ascii="Courier New" w:hAnsi="Courier New"/>
      <w:sz w:val="20"/>
      <w:szCs w:val="20"/>
    </w:rPr>
  </w:style>
  <w:style w:type="character" w:styleId="903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;UL Знак"/>
    <w:link w:val="902"/>
    <w:uiPriority w:val="34"/>
    <w:qFormat/>
    <w:rPr>
      <w:rFonts w:ascii="Courier New" w:hAnsi="Courier New" w:eastAsia="Times New Roman"/>
    </w:rPr>
  </w:style>
  <w:style w:type="character" w:styleId="904" w:customStyle="1">
    <w:name w:val="Обычный (веб) Знак;Обычный (Web) Знак;Обычный (веб) Знак Знак Знак;Обычный (Web) Знак Знак Знак Знак"/>
    <w:link w:val="880"/>
    <w:uiPriority w:val="99"/>
    <w:rPr>
      <w:rFonts w:ascii="Times New Roman" w:hAnsi="Times New Roman" w:eastAsia="Times New Roman"/>
      <w:sz w:val="24"/>
      <w:szCs w:val="24"/>
    </w:rPr>
  </w:style>
  <w:style w:type="paragraph" w:styleId="905" w:customStyle="1">
    <w:name w:val="Обычный (веб)1"/>
    <w:uiPriority w:val="99"/>
    <w:qFormat/>
    <w:pPr>
      <w:spacing w:before="100" w:beforeAutospacing="1" w:after="100" w:afterAutospacing="1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hyperlink" Target="http://www.zakupki.gov.ru" TargetMode="External"/><Relationship Id="rId11" Type="http://schemas.openxmlformats.org/officeDocument/2006/relationships/hyperlink" Target="https://tender.lot-online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Company>LE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DIT</dc:creator>
  <cp:revision>45</cp:revision>
  <dcterms:created xsi:type="dcterms:W3CDTF">2024-06-13T11:13:00Z</dcterms:created>
  <dcterms:modified xsi:type="dcterms:W3CDTF">2025-04-25T13:33:18Z</dcterms:modified>
  <cp:version>1048576</cp:version>
</cp:coreProperties>
</file>