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header9.xml" ContentType="application/vnd.openxmlformats-officedocument.wordprocessingml.header+xml"/>
  <Override PartName="/word/footnotes.xml" ContentType="application/vnd.openxmlformats-officedocument.wordprocessingml.footnotes+xml"/>
  <Override PartName="/word/header10.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 xml:space="preserve">                     </w:t>
      </w:r>
    </w:p>
    <w:p>
      <w:pPr>
        <w:pStyle w:val="Normal"/>
        <w:shd w:val="clear" w:color="auto" w:fill="FFFFFF"/>
        <w:tabs>
          <w:tab w:val="clear" w:pos="708"/>
          <w:tab w:val="left" w:pos="6926" w:leader="none"/>
        </w:tabs>
        <w:jc w:val="center"/>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  </w:t>
      </w:r>
      <w:r>
        <w:rPr>
          <w:b/>
          <w:bCs/>
          <w:sz w:val="24"/>
          <w:szCs w:val="24"/>
          <w:shd w:fill="FFFF00" w:val="clear"/>
        </w:rPr>
        <w:t xml:space="preserve">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Москва</w:t>
        <w:tab/>
        <w:t xml:space="preserve">   «    »         2025г.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sz w:val="24"/>
          <w:szCs w:val="24"/>
          <w:lang w:val="x-none"/>
        </w:rPr>
      </w:pPr>
      <w:r>
        <w:rPr>
          <w:sz w:val="24"/>
          <w:szCs w:val="24"/>
          <w:lang w:val="x-none"/>
        </w:rPr>
        <w:t>Акционерное общество «Транспортная компания РусГидро» (АО «ТК РусГидро»), (далее - «Покупатель»), в лице _________________, действующего на основании ______________, с одной стороны, и_________________________________________________, (далее - «Поставщик»), в лице ________________, действующего на основании ______________, с другой стороны, совместно в дальнейшем именуемые «Стороны», а по отдельности – «Сторона», по результатам проведенной конкурентной процедуры по лоту № _________, и на основании протокола от «_____» __№_______ 20__ г.,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81" w:charSpace="16384"/>
        </w:sect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pPr>
        <w:pStyle w:val="Normal"/>
        <w:ind w:firstLine="709"/>
        <w:jc w:val="both"/>
        <w:rPr>
          <w:sz w:val="24"/>
          <w:szCs w:val="24"/>
          <w:lang w:eastAsia="en-US"/>
        </w:rPr>
      </w:pPr>
      <w:r>
        <w:rPr>
          <w:sz w:val="24"/>
          <w:szCs w:val="24"/>
          <w:lang w:eastAsia="en-US"/>
        </w:rPr>
        <w:t>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124"/>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125"/>
        </w:numPr>
        <w:shd w:val="clear" w:color="auto" w:fill="FFFFFF"/>
        <w:tabs>
          <w:tab w:val="clear" w:pos="708"/>
          <w:tab w:val="left" w:pos="1134" w:leader="none"/>
        </w:tabs>
        <w:ind w:left="0" w:firstLine="709"/>
        <w:jc w:val="both"/>
        <w:rPr>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rFonts w:eastAsia="Calibri"/>
          <w:bCs/>
          <w:color w:val="000000"/>
          <w:sz w:val="24"/>
          <w:szCs w:val="24"/>
          <w:lang w:eastAsia="en-US"/>
        </w:rPr>
        <w:t xml:space="preserve"> </w:t>
      </w:r>
      <w:r>
        <w:rPr>
          <w:rFonts w:eastAsia="Calibri"/>
          <w:bCs/>
          <w:color w:val="000000"/>
          <w:sz w:val="24"/>
          <w:szCs w:val="24"/>
          <w:lang w:eastAsia="en-US"/>
        </w:rPr>
        <w:t>известняковый</w:t>
      </w:r>
      <w:r>
        <w:rPr>
          <w:rFonts w:eastAsia="Calibri"/>
          <w:bCs/>
          <w:color w:val="000000"/>
          <w:sz w:val="24"/>
          <w:szCs w:val="24"/>
          <w:lang w:eastAsia="en-US"/>
        </w:rPr>
        <w:t xml:space="preserve"> для строительных работ</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126"/>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127"/>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1"/>
          <w:numId w:val="128"/>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Срок поставки Товара: в течение 10 (десяти) календарных дней с даты предоставления Покупателем заявки по форме Приложения №2 к Договору в адрес Поставщика.</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129"/>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130"/>
        </w:numPr>
        <w:shd w:val="clear" w:color="auto" w:fill="FFFFFF"/>
        <w:tabs>
          <w:tab w:val="clear" w:pos="708"/>
          <w:tab w:val="left" w:pos="0" w:leader="none"/>
          <w:tab w:val="left" w:pos="1134" w:leader="none"/>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t xml:space="preserve"> </w:t>
      </w:r>
      <w:r>
        <w:rPr>
          <w:bCs/>
          <w:sz w:val="24"/>
          <w:szCs w:val="24"/>
        </w:rPr>
        <w:t xml:space="preserve">( ) рублей    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131"/>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13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133"/>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3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135"/>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136"/>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137"/>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138"/>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139"/>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Normal"/>
        <w:widowControl/>
        <w:numPr>
          <w:ilvl w:val="2"/>
          <w:numId w:val="140"/>
        </w:numPr>
        <w:shd w:val="clear" w:color="auto" w:fill="FFFFFF"/>
        <w:tabs>
          <w:tab w:val="clear" w:pos="708"/>
          <w:tab w:val="left" w:pos="1134" w:leader="none"/>
          <w:tab w:val="left" w:pos="1276" w:leader="none"/>
        </w:tabs>
        <w:spacing w:before="0" w:after="0"/>
        <w:ind w:left="0" w:firstLine="709"/>
        <w:contextualSpacing/>
        <w:jc w:val="both"/>
        <w:rPr>
          <w:sz w:val="24"/>
          <w:szCs w:val="24"/>
        </w:rPr>
      </w:pPr>
      <w:bookmarkStart w:id="1" w:name="_Ref361834178"/>
      <w:bookmarkStart w:id="2" w:name="_Ref373240288"/>
      <w:r>
        <w:rPr>
          <w:bCs/>
          <w:sz w:val="24"/>
          <w:szCs w:val="24"/>
        </w:rPr>
        <w:t xml:space="preserve">Авансовые платежи </w:t>
      </w:r>
      <w:r>
        <w:rPr>
          <w:sz w:val="24"/>
          <w:szCs w:val="24"/>
        </w:rPr>
        <w:t xml:space="preserve">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Предельный размер неотработанных авансовых платежей по одной или нескольким заявкам не должен превышать 4 950 000 (Четыре миллиона девятьсот пятьдесят тысяч) рублей 00 копеек без учета НДС (при этом НДС исчисляется дополнительно по ставке, установленной статьей 164 Налогового кодекса РФ на дату выплаты авансового платежа).  </w:t>
      </w:r>
      <w:bookmarkEnd w:id="2"/>
    </w:p>
    <w:p>
      <w:pPr>
        <w:pStyle w:val="Normal"/>
        <w:widowControl/>
        <w:numPr>
          <w:ilvl w:val="2"/>
          <w:numId w:val="141"/>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Последующие платежи в размере разницы между стоимостью заявки, определенной с учетом НДС по ставке,</w:t>
      </w:r>
      <w:r>
        <w:rPr>
          <w:bCs/>
          <w:sz w:val="24"/>
          <w:szCs w:val="24"/>
        </w:rPr>
        <w:t xml:space="preserve"> установленной статьей 164 Налогового кодекса РФ на дату подписания Сторонами </w:t>
      </w:r>
      <w:r>
        <w:rPr>
          <w:sz w:val="24"/>
          <w:szCs w:val="24"/>
        </w:rPr>
        <w:t xml:space="preserve">с даты подписания Сторонами Накладной ТОРГ-12/УПД на основании счета, выставленного Поставщиком, и с учетом пункта 2.6 Договора  </w:t>
      </w:r>
      <w:r>
        <w:rPr>
          <w:color w:val="000000"/>
          <w:sz w:val="24"/>
          <w:szCs w:val="24"/>
          <w:lang w:eastAsia="en-US"/>
        </w:rPr>
        <w:t xml:space="preserve">и ранее выплаченной суммой авансового платежа, </w:t>
      </w:r>
      <w:r>
        <w:rPr>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bookmarkEnd w:id="1"/>
    </w:p>
    <w:p>
      <w:pPr>
        <w:pStyle w:val="Normal"/>
        <w:widowControl/>
        <w:numPr>
          <w:ilvl w:val="1"/>
          <w:numId w:val="142"/>
        </w:numPr>
        <w:shd w:val="clear" w:color="auto" w:fill="FFFFFF"/>
        <w:tabs>
          <w:tab w:val="clear" w:pos="708"/>
          <w:tab w:val="left" w:pos="0" w:leader="none"/>
          <w:tab w:val="left" w:pos="1134" w:leader="none"/>
          <w:tab w:val="left" w:pos="1276" w:leader="none"/>
        </w:tabs>
        <w:spacing w:before="0" w:after="0"/>
        <w:ind w:left="0" w:firstLine="709"/>
        <w:contextualSpacing/>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14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14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145"/>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дней с даты получения соответствующего письменного требования Покупателя. </w:t>
      </w:r>
    </w:p>
    <w:p>
      <w:pPr>
        <w:pStyle w:val="Normal"/>
        <w:widowControl/>
        <w:numPr>
          <w:ilvl w:val="1"/>
          <w:numId w:val="146"/>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numPr>
          <w:ilvl w:val="1"/>
          <w:numId w:val="147"/>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shd w:val="clear" w:color="auto" w:fill="FFFFFF"/>
        <w:tabs>
          <w:tab w:val="clear" w:pos="708"/>
          <w:tab w:val="left" w:pos="567" w:leader="none"/>
          <w:tab w:val="left" w:pos="716" w:leader="none"/>
          <w:tab w:val="left" w:pos="1134" w:leader="none"/>
          <w:tab w:val="left" w:pos="1276" w:leader="none"/>
        </w:tabs>
        <w:ind w:left="709" w:hanging="0"/>
        <w:jc w:val="both"/>
        <w:rPr>
          <w:sz w:val="24"/>
          <w:szCs w:val="24"/>
        </w:rPr>
      </w:pPr>
      <w:r>
        <w:rPr>
          <w:sz w:val="24"/>
          <w:szCs w:val="24"/>
        </w:rPr>
      </w:r>
    </w:p>
    <w:p>
      <w:pPr>
        <w:pStyle w:val="Normal"/>
        <w:widowControl/>
        <w:numPr>
          <w:ilvl w:val="0"/>
          <w:numId w:val="148"/>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widowControl/>
        <w:numPr>
          <w:ilvl w:val="1"/>
          <w:numId w:val="14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150"/>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с последующим направлением оригинала Заявки по адресу, указанному в разделе 14 Договора.</w:t>
      </w:r>
    </w:p>
    <w:p>
      <w:pPr>
        <w:pStyle w:val="Normal"/>
        <w:widowControl/>
        <w:numPr>
          <w:ilvl w:val="2"/>
          <w:numId w:val="151"/>
        </w:numPr>
        <w:tabs>
          <w:tab w:val="clear" w:pos="708"/>
          <w:tab w:val="left" w:pos="993" w:leader="none"/>
          <w:tab w:val="left" w:pos="1418" w:leader="none"/>
        </w:tabs>
        <w:spacing w:before="0" w:after="0"/>
        <w:ind w:left="0" w:firstLine="709"/>
        <w:contextualSpacing/>
        <w:jc w:val="both"/>
        <w:rPr>
          <w:sz w:val="24"/>
          <w:szCs w:val="24"/>
        </w:rPr>
      </w:pPr>
      <w:r>
        <w:rPr>
          <w:sz w:val="24"/>
          <w:szCs w:val="24"/>
        </w:rPr>
        <w:t>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MasterinNN@rushydro.ru с последующим направлением письменного ответа по адресу, указанному в разделе 14 Договора.</w:t>
      </w:r>
    </w:p>
    <w:p>
      <w:pPr>
        <w:pStyle w:val="Normal"/>
        <w:widowControl/>
        <w:numPr>
          <w:ilvl w:val="2"/>
          <w:numId w:val="152"/>
        </w:numPr>
        <w:tabs>
          <w:tab w:val="clear" w:pos="708"/>
          <w:tab w:val="left" w:pos="993" w:leader="none"/>
          <w:tab w:val="left" w:pos="1418" w:leader="none"/>
        </w:tabs>
        <w:spacing w:before="0" w:after="0"/>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Normal"/>
        <w:widowControl/>
        <w:numPr>
          <w:ilvl w:val="2"/>
          <w:numId w:val="153"/>
        </w:numPr>
        <w:tabs>
          <w:tab w:val="clear" w:pos="708"/>
          <w:tab w:val="left" w:pos="993" w:leader="none"/>
          <w:tab w:val="left" w:pos="1418" w:leader="none"/>
        </w:tabs>
        <w:spacing w:before="0" w:after="0"/>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pPr>
        <w:pStyle w:val="Normal"/>
        <w:widowControl/>
        <w:numPr>
          <w:ilvl w:val="2"/>
          <w:numId w:val="154"/>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Стороны вправе запросить друг у друга необходимые дополнительные сведения для поставки Товара по Заявке. </w:t>
      </w:r>
    </w:p>
    <w:p>
      <w:pPr>
        <w:pStyle w:val="ListParagraph"/>
        <w:numPr>
          <w:ilvl w:val="2"/>
          <w:numId w:val="155"/>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11.2 Договора.</w:t>
      </w:r>
    </w:p>
    <w:p>
      <w:pPr>
        <w:pStyle w:val="ListParagraph"/>
        <w:widowControl/>
        <w:numPr>
          <w:ilvl w:val="2"/>
          <w:numId w:val="156"/>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Normal"/>
        <w:widowControl/>
        <w:numPr>
          <w:ilvl w:val="1"/>
          <w:numId w:val="157"/>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Normal"/>
        <w:widowControl/>
        <w:numPr>
          <w:ilvl w:val="1"/>
          <w:numId w:val="158"/>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159"/>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160"/>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2"/>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2"/>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2 (двух) экз.</w:t>
      </w:r>
    </w:p>
    <w:p>
      <w:pPr>
        <w:pStyle w:val="Normal"/>
        <w:widowControl/>
        <w:numPr>
          <w:ilvl w:val="1"/>
          <w:numId w:val="161"/>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Поставка Товара производится на объект, указанный Покупателем в заявке на отгрузку. </w:t>
      </w:r>
    </w:p>
    <w:p>
      <w:pPr>
        <w:pStyle w:val="Normal"/>
        <w:widowControl/>
        <w:numPr>
          <w:ilvl w:val="1"/>
          <w:numId w:val="162"/>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163"/>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numPr>
          <w:ilvl w:val="1"/>
          <w:numId w:val="164"/>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Normal"/>
        <w:widowControl/>
        <w:numPr>
          <w:ilvl w:val="1"/>
          <w:numId w:val="165"/>
        </w:numPr>
        <w:shd w:val="clear" w:color="auto" w:fill="FFFFFF"/>
        <w:tabs>
          <w:tab w:val="clear" w:pos="708"/>
          <w:tab w:val="left" w:pos="1134" w:leader="none"/>
          <w:tab w:val="left" w:pos="1418" w:leader="none"/>
        </w:tabs>
        <w:spacing w:before="0" w:after="0"/>
        <w:ind w:left="0" w:firstLine="709"/>
        <w:contextualSpacing/>
        <w:jc w:val="both"/>
        <w:rPr/>
      </w:pPr>
      <w:r>
        <w:rPr>
          <w:sz w:val="24"/>
          <w:szCs w:val="24"/>
        </w:rPr>
        <w:t>Досрочная поставка Товара допускается только при условии получения Поставщиком письменного согласия Покупателя.</w:t>
      </w:r>
    </w:p>
    <w:p>
      <w:pPr>
        <w:pStyle w:val="Normal"/>
        <w:widowControl/>
        <w:numPr>
          <w:ilvl w:val="1"/>
          <w:numId w:val="166"/>
        </w:numPr>
        <w:shd w:val="clear" w:color="auto" w:fill="FFFFFF"/>
        <w:tabs>
          <w:tab w:val="clear" w:pos="708"/>
          <w:tab w:val="left" w:pos="1418" w:leader="none"/>
        </w:tabs>
        <w:spacing w:before="0" w:after="0"/>
        <w:ind w:left="0" w:firstLine="709"/>
        <w:contextualSpacing/>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/УПД.</w:t>
      </w:r>
    </w:p>
    <w:p>
      <w:pPr>
        <w:pStyle w:val="Normal"/>
        <w:widowControl/>
        <w:numPr>
          <w:ilvl w:val="1"/>
          <w:numId w:val="167"/>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Normal"/>
        <w:widowControl/>
        <w:numPr>
          <w:ilvl w:val="1"/>
          <w:numId w:val="168"/>
        </w:numPr>
        <w:tabs>
          <w:tab w:val="clear" w:pos="708"/>
          <w:tab w:val="left" w:pos="1418" w:leader="none"/>
        </w:tabs>
        <w:spacing w:before="0" w:after="0"/>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pPr>
        <w:pStyle w:val="Normal"/>
        <w:widowControl/>
        <w:numPr>
          <w:ilvl w:val="1"/>
          <w:numId w:val="169"/>
        </w:numPr>
        <w:tabs>
          <w:tab w:val="clear" w:pos="708"/>
          <w:tab w:val="left" w:pos="1418" w:leader="none"/>
        </w:tabs>
        <w:spacing w:before="0" w:after="0"/>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Normal"/>
        <w:widowControl/>
        <w:numPr>
          <w:ilvl w:val="1"/>
          <w:numId w:val="170"/>
        </w:numPr>
        <w:shd w:val="clear" w:color="auto" w:fill="FFFFFF"/>
        <w:tabs>
          <w:tab w:val="clear" w:pos="708"/>
          <w:tab w:val="left" w:pos="1418" w:leader="none"/>
          <w:tab w:val="left" w:pos="1851" w:leader="none"/>
        </w:tabs>
        <w:spacing w:before="0" w:after="0"/>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numPr>
          <w:ilvl w:val="1"/>
          <w:numId w:val="171"/>
        </w:numPr>
        <w:shd w:val="clear" w:color="auto" w:fill="FFFFFF"/>
        <w:tabs>
          <w:tab w:val="clear" w:pos="708"/>
          <w:tab w:val="left" w:pos="1134" w:leader="none"/>
          <w:tab w:val="left" w:pos="1418" w:leader="none"/>
        </w:tabs>
        <w:spacing w:before="0" w:after="0"/>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Normal"/>
        <w:widowControl/>
        <w:numPr>
          <w:ilvl w:val="1"/>
          <w:numId w:val="172"/>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8"/>
          <w:tab w:val="left" w:pos="1190" w:leader="none"/>
        </w:tabs>
        <w:jc w:val="both"/>
        <w:rPr>
          <w:sz w:val="24"/>
          <w:szCs w:val="24"/>
        </w:rPr>
      </w:pPr>
      <w:r>
        <w:rPr>
          <w:sz w:val="24"/>
          <w:szCs w:val="24"/>
        </w:rPr>
      </w:r>
    </w:p>
    <w:p>
      <w:pPr>
        <w:pStyle w:val="Normal"/>
        <w:widowControl/>
        <w:numPr>
          <w:ilvl w:val="0"/>
          <w:numId w:val="173"/>
        </w:numPr>
        <w:shd w:val="clear" w:color="auto" w:fill="FFFFFF"/>
        <w:ind w:left="0" w:hanging="0"/>
        <w:jc w:val="center"/>
        <w:rPr>
          <w:b/>
          <w:bCs/>
          <w:sz w:val="24"/>
          <w:szCs w:val="24"/>
        </w:rPr>
      </w:pPr>
      <w:r>
        <w:rPr>
          <w:b/>
          <w:bCs/>
          <w:sz w:val="24"/>
          <w:szCs w:val="24"/>
        </w:rPr>
        <w:t>Ответственность Сторон</w:t>
      </w:r>
    </w:p>
    <w:p>
      <w:pPr>
        <w:pStyle w:val="Normal"/>
        <w:widowControl/>
        <w:numPr>
          <w:ilvl w:val="1"/>
          <w:numId w:val="11"/>
        </w:numPr>
        <w:tabs>
          <w:tab w:val="clear" w:pos="708"/>
          <w:tab w:val="left" w:pos="1276" w:leader="none"/>
        </w:tabs>
        <w:spacing w:before="0" w:after="0"/>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BodyText"/>
        <w:widowControl/>
        <w:numPr>
          <w:ilvl w:val="1"/>
          <w:numId w:val="11"/>
        </w:numPr>
        <w:tabs>
          <w:tab w:val="clear" w:pos="708"/>
          <w:tab w:val="left" w:pos="1276" w:leader="none"/>
        </w:tabs>
        <w:spacing w:before="0" w:after="0"/>
        <w:ind w:left="0" w:firstLine="851"/>
        <w:contextualSpacing/>
        <w:jc w:val="both"/>
        <w:rPr>
          <w:sz w:val="24"/>
          <w:szCs w:val="24"/>
        </w:rPr>
      </w:pPr>
      <w:r>
        <w:rPr>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pPr>
        <w:pStyle w:val="Normal"/>
        <w:widowControl/>
        <w:numPr>
          <w:ilvl w:val="1"/>
          <w:numId w:val="11"/>
        </w:numPr>
        <w:tabs>
          <w:tab w:val="clear" w:pos="708"/>
          <w:tab w:val="left" w:pos="1276" w:leader="none"/>
        </w:tabs>
        <w:spacing w:before="0" w:after="0"/>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11"/>
        </w:numPr>
        <w:tabs>
          <w:tab w:val="clear" w:pos="708"/>
          <w:tab w:val="left" w:pos="1134" w:leader="none"/>
        </w:tabs>
        <w:spacing w:before="0" w:after="0"/>
        <w:ind w:left="0" w:firstLine="709"/>
        <w:contextualSpacing/>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0"/>
          <w:numId w:val="10"/>
        </w:numPr>
        <w:tabs>
          <w:tab w:val="clear" w:pos="708"/>
          <w:tab w:val="left" w:pos="993" w:leader="none"/>
        </w:tabs>
        <w:ind w:left="0" w:firstLine="709"/>
        <w:jc w:val="both"/>
        <w:rPr>
          <w:bCs/>
          <w:sz w:val="24"/>
          <w:szCs w:val="24"/>
        </w:rPr>
      </w:pPr>
      <w:r>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10"/>
        </w:numPr>
        <w:tabs>
          <w:tab w:val="clear" w:pos="708"/>
          <w:tab w:val="left" w:pos="993" w:leader="none"/>
        </w:tabs>
        <w:ind w:left="0" w:firstLine="709"/>
        <w:jc w:val="both"/>
        <w:rPr>
          <w:bCs/>
          <w:sz w:val="24"/>
          <w:szCs w:val="24"/>
        </w:rPr>
      </w:pPr>
      <w:r>
        <w:rPr>
          <w:bCs/>
          <w:sz w:val="24"/>
          <w:szCs w:val="24"/>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shd w:val="clear" w:color="auto" w:fill="FFFFFF"/>
        <w:tabs>
          <w:tab w:val="clear" w:pos="708"/>
          <w:tab w:val="left" w:pos="1276" w:leader="none"/>
        </w:tabs>
        <w:ind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1"/>
        </w:numPr>
        <w:shd w:val="clear" w:color="auto" w:fill="FFFFFF"/>
        <w:tabs>
          <w:tab w:val="clear" w:pos="708"/>
          <w:tab w:val="left" w:pos="1276" w:leader="none"/>
          <w:tab w:val="left" w:pos="4260" w:leader="none"/>
        </w:tabs>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1"/>
          <w:numId w:val="11"/>
        </w:numPr>
        <w:tabs>
          <w:tab w:val="clear" w:pos="708"/>
          <w:tab w:val="left" w:pos="1276" w:leader="none"/>
        </w:tabs>
        <w:spacing w:before="0" w:after="0"/>
        <w:ind w:left="0" w:firstLine="709"/>
        <w:contextualSpacing/>
        <w:jc w:val="both"/>
        <w:rPr>
          <w:bCs/>
          <w:sz w:val="24"/>
          <w:szCs w:val="24"/>
        </w:rPr>
      </w:pPr>
      <w:r>
        <w:rPr>
          <w:bCs/>
          <w:sz w:val="24"/>
          <w:szCs w:val="24"/>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Normal"/>
        <w:widowControl/>
        <w:numPr>
          <w:ilvl w:val="0"/>
          <w:numId w:val="174"/>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Конфиденциальность</w:t>
      </w:r>
    </w:p>
    <w:p>
      <w:pPr>
        <w:pStyle w:val="Normal"/>
        <w:widowControl/>
        <w:numPr>
          <w:ilvl w:val="1"/>
          <w:numId w:val="175"/>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numPr>
          <w:ilvl w:val="1"/>
          <w:numId w:val="176"/>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numPr>
          <w:ilvl w:val="1"/>
          <w:numId w:val="177"/>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numPr>
          <w:ilvl w:val="1"/>
          <w:numId w:val="178"/>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numPr>
          <w:ilvl w:val="1"/>
          <w:numId w:val="179"/>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numPr>
          <w:ilvl w:val="1"/>
          <w:numId w:val="180"/>
        </w:numPr>
        <w:shd w:val="clear" w:color="auto" w:fill="FFFFFF"/>
        <w:tabs>
          <w:tab w:val="clear" w:pos="708"/>
          <w:tab w:val="left" w:pos="0" w:leader="none"/>
          <w:tab w:val="left" w:pos="1134" w:leader="none"/>
        </w:tabs>
        <w:spacing w:before="0" w:after="0"/>
        <w:ind w:left="0" w:firstLine="709"/>
        <w:contextualSpacing/>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Normal"/>
        <w:widowControl/>
        <w:numPr>
          <w:ilvl w:val="2"/>
          <w:numId w:val="181"/>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Normal"/>
        <w:widowControl/>
        <w:numPr>
          <w:ilvl w:val="2"/>
          <w:numId w:val="18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numPr>
          <w:ilvl w:val="2"/>
          <w:numId w:val="183"/>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widowControl/>
        <w:numPr>
          <w:ilvl w:val="2"/>
          <w:numId w:val="18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2"/>
          <w:numId w:val="185"/>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numPr>
          <w:ilvl w:val="2"/>
          <w:numId w:val="186"/>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numPr>
          <w:ilvl w:val="2"/>
          <w:numId w:val="187"/>
        </w:numPr>
        <w:shd w:val="clear" w:color="auto" w:fill="FFFFFF"/>
        <w:tabs>
          <w:tab w:val="clear" w:pos="708"/>
          <w:tab w:val="left" w:pos="1418" w:leader="none"/>
        </w:tabs>
        <w:spacing w:before="0" w:after="0"/>
        <w:ind w:left="0" w:firstLine="709"/>
        <w:contextualSpacing/>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numPr>
          <w:ilvl w:val="2"/>
          <w:numId w:val="188"/>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pPr>
        <w:pStyle w:val="Normal"/>
        <w:widowControl/>
        <w:numPr>
          <w:ilvl w:val="1"/>
          <w:numId w:val="189"/>
        </w:numPr>
        <w:shd w:val="clear" w:color="auto" w:fill="FFFFFF"/>
        <w:tabs>
          <w:tab w:val="clear" w:pos="708"/>
          <w:tab w:val="left" w:pos="1134" w:leader="none"/>
        </w:tabs>
        <w:spacing w:before="0" w:after="0"/>
        <w:ind w:left="0" w:firstLine="709"/>
        <w:contextualSpacing/>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numPr>
          <w:ilvl w:val="1"/>
          <w:numId w:val="190"/>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Normal"/>
        <w:widowControl/>
        <w:numPr>
          <w:ilvl w:val="0"/>
          <w:numId w:val="191"/>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Разрешение споров</w:t>
      </w:r>
    </w:p>
    <w:p>
      <w:pPr>
        <w:pStyle w:val="Normal"/>
        <w:widowControl/>
        <w:numPr>
          <w:ilvl w:val="1"/>
          <w:numId w:val="192"/>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1"/>
          <w:numId w:val="193"/>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1"/>
          <w:numId w:val="194"/>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1"/>
          <w:numId w:val="195"/>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196"/>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197"/>
        </w:numPr>
        <w:shd w:val="clear" w:color="auto" w:fill="FFFFFF"/>
        <w:spacing w:before="0" w:after="0"/>
        <w:ind w:left="0" w:hanging="0"/>
        <w:contextualSpacing/>
        <w:jc w:val="center"/>
        <w:rPr>
          <w:b/>
          <w:bCs/>
          <w:sz w:val="24"/>
          <w:szCs w:val="24"/>
        </w:rPr>
      </w:pPr>
      <w:r>
        <w:rPr>
          <w:b/>
          <w:bCs/>
          <w:sz w:val="24"/>
          <w:szCs w:val="24"/>
        </w:rPr>
        <w:t>Антикоррупционная оговорка</w:t>
      </w:r>
    </w:p>
    <w:p>
      <w:pPr>
        <w:pStyle w:val="Normal"/>
        <w:widowControl/>
        <w:numPr>
          <w:ilvl w:val="1"/>
          <w:numId w:val="198"/>
        </w:numPr>
        <w:shd w:val="clear" w:color="auto" w:fill="FFFFFF"/>
        <w:tabs>
          <w:tab w:val="clear" w:pos="708"/>
          <w:tab w:val="left" w:pos="1134" w:leader="none"/>
        </w:tabs>
        <w:spacing w:before="0" w:after="0"/>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1"/>
          <w:numId w:val="199"/>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1"/>
          <w:numId w:val="200"/>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1"/>
          <w:numId w:val="201"/>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1"/>
          <w:numId w:val="202"/>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1"/>
          <w:numId w:val="203"/>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1"/>
          <w:numId w:val="204"/>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205"/>
        </w:numPr>
        <w:shd w:val="clear" w:color="auto" w:fill="FFFFFF"/>
        <w:spacing w:before="0" w:after="0"/>
        <w:ind w:left="0" w:hanging="0"/>
        <w:contextualSpacing/>
        <w:jc w:val="center"/>
        <w:rPr>
          <w:b/>
          <w:bCs/>
          <w:sz w:val="24"/>
          <w:szCs w:val="24"/>
        </w:rPr>
      </w:pPr>
      <w:r>
        <w:rPr>
          <w:b/>
          <w:bCs/>
          <w:sz w:val="24"/>
          <w:szCs w:val="24"/>
        </w:rPr>
        <w:t>Обстоятельства непреодолимой силы (форс-мажор)</w:t>
      </w:r>
    </w:p>
    <w:p>
      <w:pPr>
        <w:pStyle w:val="Normal"/>
        <w:widowControl/>
        <w:numPr>
          <w:ilvl w:val="1"/>
          <w:numId w:val="206"/>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1"/>
          <w:numId w:val="207"/>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1"/>
          <w:numId w:val="208"/>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1"/>
          <w:numId w:val="209"/>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1"/>
          <w:numId w:val="210"/>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1"/>
          <w:numId w:val="211"/>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1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1"/>
          <w:numId w:val="213"/>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8"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bCs/>
            <w:color w:val="auto"/>
            <w:sz w:val="24"/>
            <w:szCs w:val="24"/>
            <w:u w:val="none"/>
          </w:rPr>
          <w:t>№ 18162/09</w:t>
        </w:r>
      </w:hyperlink>
      <w:r>
        <w:rPr>
          <w:bCs/>
          <w:sz w:val="24"/>
          <w:szCs w:val="24"/>
        </w:rPr>
        <w:t xml:space="preserve"> </w:t>
        <w:br/>
        <w:t xml:space="preserve">и от 25.05.2010 </w:t>
      </w:r>
      <w:hyperlink r:id="rId4">
        <w:r>
          <w:rPr>
            <w:rStyle w:val="Hyperlink"/>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5">
        <w:r>
          <w:rPr>
            <w:rStyle w:val="Hyperlink"/>
            <w:bCs/>
            <w:color w:val="auto"/>
            <w:sz w:val="24"/>
            <w:szCs w:val="24"/>
            <w:u w:val="none"/>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Normal"/>
        <w:widowControl/>
        <w:numPr>
          <w:ilvl w:val="1"/>
          <w:numId w:val="214"/>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9"/>
    </w:p>
    <w:p>
      <w:pPr>
        <w:pStyle w:val="Normal"/>
        <w:widowControl/>
        <w:numPr>
          <w:ilvl w:val="1"/>
          <w:numId w:val="215"/>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0" w:name="_Ref361337948"/>
      <w:r>
        <w:rPr>
          <w:bCs/>
          <w:sz w:val="24"/>
          <w:szCs w:val="24"/>
        </w:rPr>
        <w:t xml:space="preserve"> </w:t>
      </w:r>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Normal"/>
        <w:widowControl/>
        <w:numPr>
          <w:ilvl w:val="1"/>
          <w:numId w:val="216"/>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1"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11"/>
    </w:p>
    <w:p>
      <w:pPr>
        <w:pStyle w:val="Normal"/>
        <w:widowControl/>
        <w:numPr>
          <w:ilvl w:val="1"/>
          <w:numId w:val="217"/>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2" w:name="_Ref373243071"/>
      <w:r>
        <w:rPr>
          <w:bCs/>
          <w:sz w:val="24"/>
          <w:szCs w:val="24"/>
        </w:rPr>
        <w:t xml:space="preserve">Штраф, предусмотренный пунктом 9.4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9.3 Договора.</w:t>
      </w:r>
      <w:bookmarkEnd w:id="12"/>
    </w:p>
    <w:p>
      <w:pPr>
        <w:pStyle w:val="Normal"/>
        <w:widowControl/>
        <w:numPr>
          <w:ilvl w:val="1"/>
          <w:numId w:val="218"/>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3"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br/>
        <w:t>При этом Покупатель не будет считаться просрочившим и / или нарушившим свои обязательства по Договору.</w:t>
      </w:r>
      <w:bookmarkEnd w:id="13"/>
    </w:p>
    <w:p>
      <w:pPr>
        <w:pStyle w:val="Normal"/>
        <w:widowControl/>
        <w:numPr>
          <w:ilvl w:val="1"/>
          <w:numId w:val="219"/>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220"/>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Заверения</w:t>
      </w:r>
      <w:r>
        <w:rPr>
          <w:b/>
          <w:sz w:val="24"/>
          <w:szCs w:val="24"/>
        </w:rPr>
        <w:t xml:space="preserve"> Сторон</w:t>
      </w:r>
    </w:p>
    <w:p>
      <w:pPr>
        <w:pStyle w:val="Normal"/>
        <w:widowControl/>
        <w:numPr>
          <w:ilvl w:val="1"/>
          <w:numId w:val="221"/>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numPr>
          <w:ilvl w:val="1"/>
          <w:numId w:val="222"/>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23"/>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numPr>
          <w:ilvl w:val="1"/>
          <w:numId w:val="224"/>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numPr>
          <w:ilvl w:val="1"/>
          <w:numId w:val="225"/>
        </w:numPr>
        <w:shd w:val="clear" w:color="auto" w:fill="FFFFFF"/>
        <w:tabs>
          <w:tab w:val="clear" w:pos="708"/>
          <w:tab w:val="left" w:pos="1418" w:leader="none"/>
        </w:tabs>
        <w:spacing w:before="0" w:after="0"/>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226"/>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П</w:t>
      </w:r>
      <w:r>
        <w:rPr>
          <w:b/>
          <w:sz w:val="24"/>
          <w:szCs w:val="24"/>
        </w:rPr>
        <w:t>рекращение (расторжение) Договора</w:t>
      </w:r>
    </w:p>
    <w:p>
      <w:pPr>
        <w:pStyle w:val="Normal"/>
        <w:widowControl/>
        <w:numPr>
          <w:ilvl w:val="1"/>
          <w:numId w:val="227"/>
        </w:numPr>
        <w:shd w:val="clear" w:color="auto" w:fill="FFFFFF"/>
        <w:tabs>
          <w:tab w:val="clear" w:pos="708"/>
          <w:tab w:val="left" w:pos="1418" w:leader="none"/>
        </w:tabs>
        <w:spacing w:before="0" w:after="0"/>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Normal"/>
        <w:widowControl/>
        <w:numPr>
          <w:ilvl w:val="1"/>
          <w:numId w:val="228"/>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9"/>
        </w:numPr>
        <w:shd w:val="clear" w:color="auto" w:fill="FFFFFF"/>
        <w:tabs>
          <w:tab w:val="clear" w:pos="708"/>
          <w:tab w:val="left" w:pos="709" w:leader="none"/>
          <w:tab w:val="left" w:pos="1418" w:leader="none"/>
        </w:tabs>
        <w:spacing w:before="0" w:after="0"/>
        <w:ind w:left="0" w:firstLine="709"/>
        <w:contextualSpacing/>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Normal"/>
        <w:widowControl/>
        <w:shd w:val="clear" w:color="auto" w:fill="FFFFFF"/>
        <w:tabs>
          <w:tab w:val="clear" w:pos="708"/>
          <w:tab w:val="left" w:pos="1134" w:leader="none"/>
          <w:tab w:val="left" w:pos="1418" w:leader="none"/>
        </w:tabs>
        <w:ind w:firstLine="709"/>
        <w:jc w:val="both"/>
        <w:rPr/>
      </w:pPr>
      <w:r>
        <w:rPr>
          <w:sz w:val="24"/>
          <w:szCs w:val="24"/>
        </w:rPr>
        <w:t xml:space="preserve">Стороны установили, что существенным нарушением Договора Поставщиком является: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Normal"/>
        <w:widowControl/>
        <w:numPr>
          <w:ilvl w:val="1"/>
          <w:numId w:val="230"/>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31"/>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pPr>
        <w:pStyle w:val="Normal"/>
        <w:widowControl/>
        <w:numPr>
          <w:ilvl w:val="1"/>
          <w:numId w:val="232"/>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widowControl/>
        <w:numPr>
          <w:ilvl w:val="0"/>
          <w:numId w:val="233"/>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12.1.</w:t>
        <w:tab/>
        <w:t xml:space="preserve">Договор вступает в силу с даты его подписания Сторонами и действует </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в течение 12 (двенадцати) месяцев, либо до исчерпания предельной суммы по Договору, в зависимости что наступит ранее.</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12.2.</w:t>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12.3.</w:t>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12.4.</w:t>
        <w:tab/>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12.5.</w:t>
        <w:tab/>
        <w:t xml:space="preserve">В случае наличия любых расхождений между содержанием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и приложений к нему, приоритет имеет текст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12.6.</w:t>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12.7.</w:t>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w:t>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2"/>
      </w:r>
      <w:r>
        <w:rPr>
          <w:sz w:val="24"/>
          <w:szCs w:val="24"/>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234"/>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4"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4"/>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lang w:eastAsia="en-US"/>
        </w:rPr>
      </w:pPr>
      <w:r>
        <w:rPr>
          <w:sz w:val="24"/>
          <w:szCs w:val="24"/>
          <w:lang w:eastAsia="en-US"/>
        </w:rPr>
        <w:t>Приложение № 4 – Техническое задание на поставку МТР</w:t>
      </w:r>
    </w:p>
    <w:p>
      <w:pPr>
        <w:pStyle w:val="Normal"/>
        <w:ind w:firstLine="709"/>
        <w:jc w:val="both"/>
        <w:rPr>
          <w:bCs/>
          <w:sz w:val="24"/>
          <w:szCs w:val="24"/>
        </w:rPr>
      </w:pPr>
      <w:r>
        <w:rPr>
          <w:bCs/>
          <w:sz w:val="24"/>
          <w:szCs w:val="24"/>
        </w:rPr>
      </w:r>
    </w:p>
    <w:p>
      <w:pPr>
        <w:pStyle w:val="Normal"/>
        <w:widowControl/>
        <w:numPr>
          <w:ilvl w:val="0"/>
          <w:numId w:val="235"/>
        </w:numPr>
        <w:shd w:val="clear" w:color="auto" w:fill="FFFFFF"/>
        <w:spacing w:before="0" w:after="0"/>
        <w:ind w:left="0" w:hanging="0"/>
        <w:contextualSpacing/>
        <w:jc w:val="center"/>
        <w:rPr>
          <w:b/>
          <w:bCs/>
          <w:sz w:val="24"/>
          <w:szCs w:val="24"/>
        </w:rPr>
      </w:pPr>
      <w:r>
        <w:rPr>
          <w:b/>
          <w:bCs/>
          <w:sz w:val="24"/>
          <w:szCs w:val="24"/>
        </w:rPr>
        <w:t>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12"/>
        <w:gridCol w:w="4868"/>
      </w:tblGrid>
      <w:tr>
        <w:trPr/>
        <w:tc>
          <w:tcPr>
            <w:tcW w:w="4912" w:type="dxa"/>
            <w:tcBorders/>
          </w:tcPr>
          <w:p>
            <w:pPr>
              <w:pStyle w:val="Normal"/>
              <w:widowControl w:val="false"/>
              <w:rPr>
                <w:b/>
                <w:sz w:val="24"/>
                <w:szCs w:val="24"/>
              </w:rPr>
            </w:pPr>
            <w:r>
              <w:rPr>
                <w:b/>
                <w:sz w:val="24"/>
                <w:szCs w:val="24"/>
              </w:rPr>
              <w:t>Покупатель:</w:t>
            </w:r>
          </w:p>
        </w:tc>
        <w:tc>
          <w:tcPr>
            <w:tcW w:w="4868" w:type="dxa"/>
            <w:tcBorders/>
          </w:tcPr>
          <w:p>
            <w:pPr>
              <w:pStyle w:val="Normal"/>
              <w:widowControl w:val="false"/>
              <w:rPr>
                <w:b/>
                <w:sz w:val="24"/>
                <w:szCs w:val="24"/>
              </w:rPr>
            </w:pPr>
            <w:r>
              <w:rPr>
                <w:b/>
                <w:sz w:val="24"/>
                <w:szCs w:val="24"/>
              </w:rPr>
              <w:t>Поставщик:</w:t>
            </w:r>
          </w:p>
        </w:tc>
      </w:tr>
      <w:tr>
        <w:trPr/>
        <w:tc>
          <w:tcPr>
            <w:tcW w:w="4912" w:type="dxa"/>
            <w:tcBorders/>
          </w:tcPr>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д. № 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68" w:type="dxa"/>
            <w:tcBorders/>
            <w:shd w:color="auto" w:fill="auto" w:val="clear"/>
          </w:tcPr>
          <w:p>
            <w:pPr>
              <w:pStyle w:val="Normal"/>
              <w:widowControl w:val="false"/>
              <w:rPr>
                <w:b/>
                <w:sz w:val="24"/>
                <w:szCs w:val="24"/>
              </w:rPr>
            </w:pPr>
            <w:r>
              <w:rPr>
                <w:b/>
                <w:sz w:val="24"/>
                <w:szCs w:val="24"/>
              </w:rPr>
            </w:r>
          </w:p>
          <w:p>
            <w:pPr>
              <w:pStyle w:val="Normal"/>
              <w:widowControl w:val="false"/>
              <w:rPr>
                <w:sz w:val="24"/>
                <w:szCs w:val="24"/>
              </w:rPr>
            </w:pPr>
            <w:r>
              <w:rPr>
                <w:sz w:val="24"/>
                <w:szCs w:val="24"/>
              </w:rPr>
            </w:r>
          </w:p>
        </w:tc>
      </w:tr>
    </w:tbl>
    <w:p>
      <w:pPr>
        <w:sectPr>
          <w:headerReference w:type="default" r:id="rId6"/>
          <w:headerReference w:type="first" r:id="rId7"/>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Pr>
    </w:p>
    <w:tbl>
      <w:tblPr>
        <w:tblW w:w="978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868"/>
        <w:gridCol w:w="4677"/>
        <w:gridCol w:w="236"/>
      </w:tblGrid>
      <w:tr>
        <w:trPr/>
        <w:tc>
          <w:tcPr>
            <w:tcW w:w="4868"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677"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_______________ /</w:t>
            </w:r>
          </w:p>
        </w:tc>
        <w:tc>
          <w:tcPr>
            <w:tcW w:w="236" w:type="dxa"/>
            <w:tcBorders/>
          </w:tcPr>
          <w:p>
            <w:pPr>
              <w:pStyle w:val="Normal"/>
              <w:widowControl w:val="false"/>
              <w:rPr/>
            </w:pPr>
            <w:r>
              <w:rPr/>
            </w:r>
          </w:p>
        </w:tc>
      </w:tr>
    </w:tbl>
    <w:p>
      <w:pPr>
        <w:sectPr>
          <w:headerReference w:type="default" r:id="rId8"/>
          <w:headerReference w:type="first" r:id="rId9"/>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Style w:val="Normal"/>
        <w:rPr/>
      </w:pPr>
      <w:r>
        <w:rPr/>
      </w:r>
    </w:p>
    <w:p>
      <w:pPr>
        <w:pStyle w:val="Normal"/>
        <w:jc w:val="right"/>
        <w:rPr>
          <w:sz w:val="28"/>
          <w:szCs w:val="28"/>
        </w:rPr>
      </w:pPr>
      <w:r>
        <w:rPr>
          <w:sz w:val="22"/>
          <w:szCs w:val="22"/>
        </w:rPr>
        <w:t>Приложение № 1</w:t>
      </w:r>
    </w:p>
    <w:p>
      <w:pPr>
        <w:pStyle w:val="Normal"/>
        <w:jc w:val="right"/>
        <w:rPr>
          <w:sz w:val="22"/>
          <w:szCs w:val="22"/>
        </w:rPr>
      </w:pPr>
      <w:r>
        <w:rPr>
          <w:sz w:val="22"/>
          <w:szCs w:val="22"/>
        </w:rPr>
        <w:t xml:space="preserve">к Договору поставки №        </w:t>
      </w:r>
      <w:r>
        <w:rPr>
          <w:sz w:val="24"/>
          <w:szCs w:val="24"/>
        </w:rPr>
        <w:t>/2025/ЦФ/Рм</w:t>
      </w:r>
    </w:p>
    <w:p>
      <w:pPr>
        <w:pStyle w:val="Normal"/>
        <w:ind w:firstLine="4820"/>
        <w:jc w:val="right"/>
        <w:rPr>
          <w:sz w:val="22"/>
          <w:szCs w:val="22"/>
        </w:rPr>
      </w:pPr>
      <w:r>
        <w:rPr>
          <w:sz w:val="22"/>
          <w:szCs w:val="22"/>
        </w:rPr>
        <w:t>от «____» _____20 _ г. № _____</w:t>
      </w:r>
    </w:p>
    <w:p>
      <w:pPr>
        <w:pStyle w:val="Normal"/>
        <w:ind w:firstLine="709"/>
        <w:rPr>
          <w:rFonts w:eastAsia="Calibri"/>
          <w:b/>
          <w:lang w:eastAsia="en-US"/>
        </w:rPr>
      </w:pPr>
      <w:r>
        <w:rPr>
          <w:rFonts w:eastAsia="Calibri"/>
          <w:b/>
          <w:lang w:eastAsia="en-US"/>
        </w:rPr>
      </w:r>
    </w:p>
    <w:p>
      <w:pPr>
        <w:pStyle w:val="Normal"/>
        <w:ind w:firstLine="709"/>
        <w:jc w:val="center"/>
        <w:rPr>
          <w:b/>
        </w:rPr>
      </w:pPr>
      <w:r>
        <w:rPr>
          <w:b/>
        </w:rPr>
      </w:r>
    </w:p>
    <w:p>
      <w:pPr>
        <w:pStyle w:val="Normal"/>
        <w:ind w:firstLine="709"/>
        <w:jc w:val="center"/>
        <w:rPr>
          <w:b/>
        </w:rPr>
      </w:pPr>
      <w:r>
        <w:rPr>
          <w:b/>
        </w:rPr>
      </w:r>
    </w:p>
    <w:p>
      <w:pPr>
        <w:pStyle w:val="Normal"/>
        <w:jc w:val="center"/>
        <w:rPr>
          <w:b/>
        </w:rPr>
      </w:pPr>
      <w:r>
        <w:rPr>
          <w:b/>
          <w:sz w:val="24"/>
          <w:szCs w:val="24"/>
        </w:rPr>
        <w:t xml:space="preserve">СПЕЦИФИКАЦИЯ </w:t>
      </w:r>
    </w:p>
    <w:p>
      <w:pPr>
        <w:pStyle w:val="Normal"/>
        <w:jc w:val="center"/>
        <w:rPr>
          <w:b/>
        </w:rPr>
      </w:pPr>
      <w:r>
        <w:rPr>
          <w:b/>
        </w:rPr>
      </w:r>
    </w:p>
    <w:tbl>
      <w:tblPr>
        <w:tblW w:w="15081" w:type="dxa"/>
        <w:jc w:val="left"/>
        <w:tblInd w:w="-601" w:type="dxa"/>
        <w:tblLayout w:type="fixed"/>
        <w:tblCellMar>
          <w:top w:w="0" w:type="dxa"/>
          <w:left w:w="108" w:type="dxa"/>
          <w:bottom w:w="0" w:type="dxa"/>
          <w:right w:w="108" w:type="dxa"/>
        </w:tblCellMar>
        <w:tblLook w:val="0000" w:noVBand="0" w:noHBand="0" w:lastColumn="0" w:firstColumn="0" w:lastRow="0" w:firstRow="0"/>
      </w:tblPr>
      <w:tblGrid>
        <w:gridCol w:w="693"/>
        <w:gridCol w:w="416"/>
        <w:gridCol w:w="1658"/>
        <w:gridCol w:w="778"/>
        <w:gridCol w:w="605"/>
        <w:gridCol w:w="867"/>
        <w:gridCol w:w="500"/>
        <w:gridCol w:w="1552"/>
        <w:gridCol w:w="672"/>
        <w:gridCol w:w="680"/>
        <w:gridCol w:w="846"/>
        <w:gridCol w:w="920"/>
        <w:gridCol w:w="1256"/>
        <w:gridCol w:w="1191"/>
        <w:gridCol w:w="1237"/>
        <w:gridCol w:w="1206"/>
      </w:tblGrid>
      <w:tr>
        <w:trPr>
          <w:trHeight w:val="526"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1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1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pPr>
            <w:r>
              <w:rPr>
                <w:bCs/>
              </w:rPr>
              <w:t>Порядковый номер(а) реестровой(ых) записи(ей)</w:t>
            </w:r>
            <w:r>
              <w:rPr>
                <w:rStyle w:val="FootnoteReference"/>
                <w:bCs/>
              </w:rPr>
              <w:footnoteReference w:id="4"/>
            </w:r>
          </w:p>
          <w:p>
            <w:pPr>
              <w:pStyle w:val="Normal"/>
              <w:widowControl w:val="false"/>
              <w:jc w:val="center"/>
              <w:rPr>
                <w:bCs/>
              </w:rPr>
            </w:pPr>
            <w:r>
              <w:rPr>
                <w:bCs/>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(20%) руб.</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bookmarkStart w:id="15" w:name="_GoBack"/>
            <w:r>
              <w:rPr>
                <w:bCs/>
              </w:rPr>
              <w:t>Перечень сопроводительных документов (в том числе подтверждающих качество Товара)</w:t>
            </w:r>
            <w:bookmarkEnd w:id="15"/>
          </w:p>
        </w:tc>
      </w:tr>
      <w:tr>
        <w:trPr>
          <w:trHeight w:val="538"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hd w:fill="C0C0C0" w:val="clear"/>
              </w:rPr>
            </w:pPr>
            <w:r>
              <w:rPr>
                <w:bCs/>
                <w:shd w:fill="C0C0C0" w:val="clear"/>
              </w:rPr>
              <w:t>1</w:t>
            </w:r>
          </w:p>
        </w:tc>
        <w:tc>
          <w:tcPr>
            <w:tcW w:w="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hd w:fill="C0C0C0" w:val="clear"/>
              </w:rPr>
            </w:pPr>
            <w:r>
              <w:rPr>
                <w:shd w:fill="C0C0C0" w:val="clear"/>
              </w:rPr>
              <w:t>1</w:t>
            </w:r>
          </w:p>
        </w:tc>
        <w:tc>
          <w:tcPr>
            <w:tcW w:w="1658"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jc w:val="center"/>
              <w:rPr>
                <w:rFonts w:eastAsia="Calibri"/>
                <w:sz w:val="24"/>
                <w:szCs w:val="24"/>
              </w:rPr>
            </w:pPr>
            <w:r>
              <w:rPr>
                <w:rFonts w:eastAsia="Calibri"/>
                <w:bCs/>
                <w:color w:val="000000"/>
                <w:sz w:val="24"/>
                <w:szCs w:val="24"/>
                <w:lang w:eastAsia="en-US"/>
              </w:rPr>
              <w:t xml:space="preserve"> </w:t>
            </w:r>
            <w:r>
              <w:rPr>
                <w:rFonts w:eastAsia="Calibri"/>
                <w:bCs/>
                <w:color w:val="000000"/>
                <w:sz w:val="24"/>
                <w:szCs w:val="24"/>
                <w:lang w:eastAsia="en-US"/>
              </w:rPr>
              <w:t xml:space="preserve">Щебень </w:t>
            </w:r>
            <w:r>
              <w:rPr>
                <w:rFonts w:eastAsia="Calibri"/>
                <w:bCs/>
                <w:color w:val="000000"/>
                <w:sz w:val="24"/>
                <w:szCs w:val="24"/>
                <w:lang w:eastAsia="en-US"/>
              </w:rPr>
              <w:t xml:space="preserve">известняковый </w:t>
            </w:r>
            <w:r>
              <w:rPr>
                <w:rFonts w:eastAsia="Calibri"/>
                <w:bCs/>
                <w:color w:val="000000"/>
                <w:sz w:val="24"/>
                <w:szCs w:val="24"/>
                <w:lang w:eastAsia="en-US"/>
              </w:rPr>
              <w:t>для строительных работ фракции 5-20 М600 (сеяный)</w:t>
            </w:r>
            <w:r>
              <w:rPr>
                <w:rFonts w:eastAsia="Calibri"/>
                <w:bCs/>
                <w:color w:val="000000"/>
                <w:sz w:val="24"/>
                <w:szCs w:val="24"/>
                <w:lang w:eastAsia="en-US"/>
              </w:rPr>
              <w:t xml:space="preserve"> </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keepNext w:val="true"/>
              <w:keepLines/>
              <w:widowControl w:val="false"/>
              <w:jc w:val="center"/>
              <w:rPr>
                <w:rFonts w:eastAsia="Calibri"/>
                <w:sz w:val="24"/>
                <w:szCs w:val="24"/>
              </w:rPr>
            </w:pPr>
            <w:r>
              <w:rPr/>
            </w:r>
          </w:p>
        </w:tc>
        <w:tc>
          <w:tcPr>
            <w:tcW w:w="605" w:type="dxa"/>
            <w:tcBorders>
              <w:top w:val="single" w:sz="4" w:space="0" w:color="000000"/>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r>
          </w:p>
          <w:p>
            <w:pPr>
              <w:pStyle w:val="Normal"/>
              <w:widowControl w:val="false"/>
              <w:jc w:val="center"/>
              <w:rPr/>
            </w:pPr>
            <w:r>
              <w:rPr/>
            </w:r>
          </w:p>
        </w:tc>
        <w:tc>
          <w:tcPr>
            <w:tcW w:w="500" w:type="dxa"/>
            <w:tcBorders>
              <w:top w:val="single" w:sz="4" w:space="0" w:color="000000"/>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1552"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jc w:val="center"/>
              <w:rPr/>
            </w:pPr>
            <w:r>
              <w:rPr>
                <w:rFonts w:eastAsia="Calibri"/>
              </w:rPr>
              <w:t xml:space="preserve"> </w:t>
            </w:r>
          </w:p>
          <w:p>
            <w:pPr>
              <w:pStyle w:val="Normal"/>
              <w:keepNext w:val="true"/>
              <w:keepLines/>
              <w:widowControl w:val="false"/>
              <w:jc w:val="center"/>
              <w:rPr>
                <w:rFonts w:eastAsia="Calibri"/>
                <w:sz w:val="24"/>
                <w:szCs w:val="24"/>
              </w:rPr>
            </w:pPr>
            <w:r>
              <w:rPr>
                <w:rFonts w:eastAsia="Calibri"/>
                <w:sz w:val="24"/>
                <w:szCs w:val="24"/>
              </w:rPr>
            </w:r>
          </w:p>
          <w:p>
            <w:pPr>
              <w:pStyle w:val="Normal"/>
              <w:widowControl w:val="false"/>
              <w:jc w:val="center"/>
              <w:rPr>
                <w:rFonts w:eastAsia="Calibri"/>
                <w:sz w:val="24"/>
                <w:szCs w:val="24"/>
              </w:rPr>
            </w:pPr>
            <w:r>
              <w:rPr>
                <w:rFonts w:eastAsia="Calibri"/>
                <w:sz w:val="24"/>
                <w:szCs w:val="24"/>
              </w:rPr>
            </w:r>
          </w:p>
          <w:p>
            <w:pPr>
              <w:pStyle w:val="Normal"/>
              <w:widowControl w:val="false"/>
              <w:jc w:val="center"/>
              <w:rPr>
                <w:rFonts w:eastAsia="Calibri"/>
                <w:sz w:val="24"/>
                <w:szCs w:val="24"/>
              </w:rPr>
            </w:pPr>
            <w:r>
              <w:rPr>
                <w:rFonts w:eastAsia="Calibri"/>
                <w:sz w:val="24"/>
                <w:szCs w:val="24"/>
              </w:rPr>
            </w:r>
          </w:p>
          <w:p>
            <w:pPr>
              <w:pStyle w:val="Normal"/>
              <w:widowControl w:val="false"/>
              <w:tabs>
                <w:tab w:val="clear" w:pos="708"/>
                <w:tab w:val="left" w:pos="426" w:leader="none"/>
              </w:tabs>
              <w:spacing w:before="120" w:after="120"/>
              <w:jc w:val="center"/>
              <w:rPr>
                <w:rStyle w:val="Style11"/>
                <w:sz w:val="26"/>
                <w:szCs w:val="26"/>
              </w:rPr>
            </w:pPr>
            <w:r>
              <w:rPr>
                <w:rFonts w:eastAsia="Calibri"/>
                <w:color w:val="000000"/>
                <w:sz w:val="24"/>
                <w:szCs w:val="24"/>
              </w:rPr>
              <w:t>ОКПД2 08.12.12.140</w:t>
            </w:r>
          </w:p>
        </w:tc>
        <w:tc>
          <w:tcPr>
            <w:tcW w:w="6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t>м3</w:t>
            </w:r>
          </w:p>
          <w:p>
            <w:pPr>
              <w:pStyle w:val="Normal"/>
              <w:widowControl w:val="false"/>
              <w:jc w:val="center"/>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 xml:space="preserve">  </w:t>
            </w:r>
            <w:r>
              <w:rPr/>
              <w:t>200</w:t>
            </w:r>
          </w:p>
        </w:tc>
        <w:tc>
          <w:tcPr>
            <w:tcW w:w="9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sz w:val="24"/>
                <w:szCs w:val="24"/>
              </w:rPr>
              <w:t>Паспорт качества;</w:t>
            </w:r>
          </w:p>
          <w:p>
            <w:pPr>
              <w:pStyle w:val="Normal"/>
              <w:widowControl w:val="false"/>
              <w:rPr/>
            </w:pPr>
            <w:r>
              <w:rPr>
                <w:sz w:val="24"/>
                <w:szCs w:val="24"/>
              </w:rPr>
              <w:t xml:space="preserve"> </w:t>
            </w:r>
            <w:r>
              <w:rPr>
                <w:sz w:val="24"/>
                <w:szCs w:val="24"/>
              </w:rPr>
              <w:t>товарно-транспортная накладная;</w:t>
            </w:r>
          </w:p>
          <w:p>
            <w:pPr>
              <w:pStyle w:val="Normal"/>
              <w:widowControl w:val="false"/>
              <w:rPr/>
            </w:pPr>
            <w:r>
              <w:rPr>
                <w:sz w:val="24"/>
                <w:szCs w:val="24"/>
              </w:rPr>
              <w:t>результат радиационно-гигиенической оценки</w:t>
            </w:r>
          </w:p>
        </w:tc>
      </w:tr>
      <w:tr>
        <w:trPr>
          <w:trHeight w:val="62" w:hRule="atLeast"/>
        </w:trPr>
        <w:tc>
          <w:tcPr>
            <w:tcW w:w="126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rPr/>
            </w:pPr>
            <w:r>
              <w:rPr/>
              <w:t>Итого стоимость партии Товара №1, руб. с НДС</w:t>
            </w:r>
          </w:p>
        </w:tc>
        <w:tc>
          <w:tcPr>
            <w:tcW w:w="244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126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rPr/>
            </w:pPr>
            <w:r>
              <w:rPr/>
              <w:t>Итого стоимость всего Товара (с учетом доставки), руб. с НДС:</w:t>
            </w:r>
          </w:p>
        </w:tc>
        <w:tc>
          <w:tcPr>
            <w:tcW w:w="244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hd w:fill="FFFF00" w:val="clear"/>
        </w:rPr>
      </w:pPr>
      <w:r>
        <w:rPr>
          <w:i/>
          <w:shd w:fill="FFFF00" w:val="clear"/>
        </w:rPr>
      </w:r>
    </w:p>
    <w:p>
      <w:pPr>
        <w:pStyle w:val="Normal"/>
        <w:rPr>
          <w:i/>
          <w:i/>
          <w:sz w:val="22"/>
          <w:szCs w:val="22"/>
          <w:shd w:fill="C0C0C0" w:val="clear"/>
        </w:rPr>
      </w:pPr>
      <w:r>
        <w:rPr>
          <w:i/>
          <w:sz w:val="22"/>
          <w:szCs w:val="22"/>
          <w:shd w:fill="C0C0C0"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shd w:fill="C0C0C0" w:val="clear"/>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rPr>
      </w:pPr>
      <w:r>
        <w:rPr>
          <w:i/>
          <w:sz w:val="24"/>
          <w:szCs w:val="24"/>
          <w:shd w:fill="C0C0C0" w:val="clear"/>
        </w:rPr>
        <w:t>]</w:t>
      </w:r>
    </w:p>
    <w:p>
      <w:pPr>
        <w:sectPr>
          <w:headerReference w:type="default" r:id="rId10"/>
          <w:headerReference w:type="first" r:id="rId11"/>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ind w:firstLine="709"/>
        <w:jc w:val="both"/>
        <w:rPr>
          <w:i/>
          <w:i/>
        </w:rPr>
      </w:pPr>
      <w:r>
        <w:rPr>
          <w:i/>
          <w:sz w:val="24"/>
          <w:szCs w:val="24"/>
        </w:rPr>
        <w:t xml:space="preserve"> </w:t>
      </w:r>
    </w:p>
    <w:tbl>
      <w:tblPr>
        <w:tblW w:w="978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884"/>
        <w:gridCol w:w="4896"/>
      </w:tblGrid>
      <w:tr>
        <w:trPr/>
        <w:tc>
          <w:tcPr>
            <w:tcW w:w="4884" w:type="dxa"/>
            <w:tcBorders/>
          </w:tcPr>
          <w:p>
            <w:pPr>
              <w:pStyle w:val="Normal"/>
              <w:widowControl w:val="false"/>
              <w:jc w:val="center"/>
              <w:rPr>
                <w:b/>
                <w:bCs/>
              </w:rPr>
            </w:pPr>
            <w:r>
              <w:rPr>
                <w:b/>
                <w:bCs/>
              </w:rPr>
            </w:r>
          </w:p>
          <w:p>
            <w:pPr>
              <w:pStyle w:val="Normal"/>
              <w:widowControl w:val="false"/>
              <w:jc w:val="center"/>
              <w:rPr/>
            </w:pPr>
            <w:r>
              <w:rPr>
                <w:b/>
                <w:bCs/>
                <w:sz w:val="24"/>
                <w:szCs w:val="24"/>
              </w:rPr>
              <w:t xml:space="preserve">                                   </w:t>
            </w:r>
            <w:r>
              <w:rPr>
                <w:b/>
                <w:bCs/>
                <w:sz w:val="24"/>
                <w:szCs w:val="24"/>
              </w:rPr>
              <w:t>ПОДПИСИ СТОРОН:</w:t>
            </w:r>
          </w:p>
          <w:p>
            <w:pPr>
              <w:pStyle w:val="Normal"/>
              <w:widowControl w:val="false"/>
              <w:rPr/>
            </w:pPr>
            <w:r>
              <w:rPr/>
            </w:r>
          </w:p>
          <w:p>
            <w:pPr>
              <w:pStyle w:val="Normal"/>
              <w:widowControl w:val="false"/>
              <w:rPr/>
            </w:pPr>
            <w:r>
              <w:rPr>
                <w:sz w:val="24"/>
                <w:szCs w:val="24"/>
              </w:rPr>
              <w:t>Директор Центрального филиала</w:t>
            </w:r>
          </w:p>
          <w:p>
            <w:pPr>
              <w:pStyle w:val="Normal"/>
              <w:widowControl w:val="false"/>
              <w:rPr/>
            </w:pPr>
            <w:r>
              <w:rPr>
                <w:sz w:val="24"/>
                <w:szCs w:val="24"/>
              </w:rPr>
              <w:t>АО «ТК РусГидро»</w:t>
            </w:r>
          </w:p>
          <w:p>
            <w:pPr>
              <w:pStyle w:val="Normal"/>
              <w:widowControl w:val="false"/>
              <w:rPr/>
            </w:pPr>
            <w:r>
              <w:rPr/>
            </w:r>
          </w:p>
          <w:p>
            <w:pPr>
              <w:pStyle w:val="Normal"/>
              <w:widowControl w:val="false"/>
              <w:rPr/>
            </w:pPr>
            <w:r>
              <w:rPr/>
            </w:r>
          </w:p>
          <w:p>
            <w:pPr>
              <w:pStyle w:val="Normal"/>
              <w:widowControl w:val="false"/>
              <w:rPr/>
            </w:pPr>
            <w:r>
              <w:rPr>
                <w:sz w:val="24"/>
                <w:szCs w:val="24"/>
              </w:rPr>
              <w:t>_______________ / А.А. Ткаченко</w:t>
            </w:r>
          </w:p>
          <w:p>
            <w:pPr>
              <w:pStyle w:val="Normal"/>
              <w:widowControl w:val="false"/>
              <w:rPr/>
            </w:pPr>
            <w:r>
              <w:rPr/>
            </w:r>
          </w:p>
        </w:tc>
        <w:tc>
          <w:tcPr>
            <w:tcW w:w="4896" w:type="dxa"/>
            <w:tcBorders/>
          </w:tcPr>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tc>
      </w:tr>
    </w:tbl>
    <w:p>
      <w:pPr>
        <w:sectPr>
          <w:headerReference w:type="default" r:id="rId12"/>
          <w:headerReference w:type="first" r:id="rId13"/>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rPr/>
      </w:pPr>
      <w:r>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 xml:space="preserve"> </w:t>
      </w:r>
    </w:p>
    <w:p>
      <w:pPr>
        <w:pStyle w:val="Normal"/>
        <w:tabs>
          <w:tab w:val="clear" w:pos="708"/>
          <w:tab w:val="left" w:pos="1843" w:leader="none"/>
          <w:tab w:val="left" w:pos="4395" w:leader="none"/>
        </w:tabs>
        <w:rPr>
          <w:i/>
          <w:i/>
          <w:sz w:val="24"/>
          <w:szCs w:val="24"/>
        </w:rPr>
      </w:pPr>
      <w:r>
        <w:rPr>
          <w:i/>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VBand="1" w:noHBand="0" w:lastColumn="0" w:firstColumn="1" w:lastRow="0" w:firstRow="1"/>
      </w:tblPr>
      <w:tblGrid>
        <w:gridCol w:w="528"/>
        <w:gridCol w:w="982"/>
        <w:gridCol w:w="1116"/>
        <w:gridCol w:w="707"/>
        <w:gridCol w:w="1065"/>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jc w:val="center"/>
        <w:rPr>
          <w:i/>
          <w:i/>
          <w:sz w:val="24"/>
          <w:szCs w:val="24"/>
        </w:rPr>
      </w:pPr>
      <w:r>
        <w:rPr>
          <w:i/>
          <w:sz w:val="24"/>
          <w:szCs w:val="24"/>
        </w:rPr>
      </w:r>
    </w:p>
    <w:tbl>
      <w:tblPr>
        <w:tblW w:w="978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numPr>
          <w:ilvl w:val="0"/>
          <w:numId w:val="0"/>
        </w:numPr>
        <w:ind w:left="0" w:hanging="0"/>
        <w:outlineLvl w:val="0"/>
        <w:rPr>
          <w:bCs/>
          <w:sz w:val="24"/>
          <w:szCs w:val="24"/>
        </w:rPr>
      </w:pPr>
      <w:r>
        <w:rPr>
          <w:bCs/>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VBand="0" w:noHBand="0" w:lastColumn="1" w:firstColumn="1" w:lastRow="1" w:firstRow="1"/>
      </w:tblPr>
      <w:tblGrid>
        <w:gridCol w:w="3822"/>
        <w:gridCol w:w="5814"/>
      </w:tblGrid>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tbl>
      <w:tblPr>
        <w:tblW w:w="978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rPr>
          <w:b/>
          <w:bCs/>
          <w:sz w:val="24"/>
          <w:szCs w:val="24"/>
        </w:rPr>
      </w:pPr>
      <w:r>
        <w:rPr>
          <w:b/>
          <w:bCs/>
          <w:sz w:val="24"/>
          <w:szCs w:val="24"/>
        </w:rPr>
      </w:r>
    </w:p>
    <w:p>
      <w:pPr>
        <w:pStyle w:val="Normal"/>
        <w:rPr/>
      </w:pPr>
      <w:r>
        <w:rPr/>
      </w:r>
    </w:p>
    <w:p>
      <w:pPr>
        <w:pStyle w:val="Normal"/>
        <w:rPr/>
      </w:pPr>
      <w:r>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w:t>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center"/>
        <w:rPr>
          <w:sz w:val="24"/>
          <w:szCs w:val="24"/>
        </w:rPr>
      </w:pPr>
      <w:r>
        <w:rPr>
          <w:sz w:val="24"/>
          <w:szCs w:val="24"/>
        </w:rPr>
        <w:t>Техническое задание на поставку МТР</w:t>
      </w:r>
    </w:p>
    <w:p>
      <w:pPr>
        <w:pStyle w:val="Normal"/>
        <w:jc w:val="center"/>
        <w:rPr>
          <w:sz w:val="24"/>
          <w:szCs w:val="24"/>
        </w:rPr>
      </w:pPr>
      <w:r>
        <w:rPr>
          <w:sz w:val="24"/>
          <w:szCs w:val="24"/>
        </w:rPr>
      </w:r>
    </w:p>
    <w:p>
      <w:pPr>
        <w:pStyle w:val="Normal"/>
        <w:keepNext w:val="true"/>
        <w:keepLines/>
        <w:jc w:val="center"/>
        <w:rPr>
          <w:rFonts w:eastAsia="Calibri"/>
          <w:sz w:val="24"/>
          <w:szCs w:val="24"/>
        </w:rPr>
      </w:pPr>
      <w:r>
        <w:rPr>
          <w:rFonts w:eastAsia="Calibri"/>
          <w:sz w:val="24"/>
          <w:szCs w:val="24"/>
        </w:rPr>
      </w:r>
    </w:p>
    <w:p>
      <w:pPr>
        <w:pStyle w:val="ListParagraph"/>
        <w:keepNext w:val="true"/>
        <w:widowControl/>
        <w:numPr>
          <w:ilvl w:val="0"/>
          <w:numId w:val="0"/>
        </w:numPr>
        <w:spacing w:before="120" w:after="60"/>
        <w:ind w:left="426" w:hanging="0"/>
        <w:contextualSpacing/>
        <w:outlineLvl w:val="3"/>
        <w:rPr>
          <w:rFonts w:eastAsia="Calibri"/>
          <w:b/>
          <w:bCs/>
          <w:sz w:val="24"/>
          <w:szCs w:val="24"/>
          <w:lang w:val="x-none" w:eastAsia="x-none"/>
        </w:rPr>
      </w:pPr>
      <w:r>
        <w:rPr>
          <w:rFonts w:eastAsia="Calibri"/>
          <w:b/>
          <w:bCs/>
          <w:sz w:val="24"/>
          <w:szCs w:val="24"/>
          <w:lang w:val="x-none" w:eastAsia="x-none"/>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firstLine="708"/>
        <w:rPr>
          <w:sz w:val="24"/>
          <w:szCs w:val="24"/>
        </w:rPr>
      </w:pPr>
      <w:r>
        <w:rPr/>
      </w:r>
    </w:p>
    <w:sectPr>
      <w:headerReference w:type="default" r:id="rId14"/>
      <w:headerReference w:type="first" r:id="rId15"/>
      <w:footerReference w:type="default" r:id="rId16"/>
      <w:footnotePr>
        <w:numFmt w:val="decimal"/>
      </w:footnotePr>
      <w:type w:val="nextPage"/>
      <w:pgSz w:w="11906" w:h="16838"/>
      <w:pgMar w:left="1418" w:right="851" w:gutter="0" w:header="567" w:top="1134" w:footer="709" w:bottom="1134"/>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Times New              Roman">
    <w:altName w:val="s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3"/>
        </w:rPr>
        <w:footnoteRef/>
      </w:r>
      <w:r>
        <w:rPr/>
      </w:r>
    </w:p>
  </w:footnote>
  <w:footnote w:id="3">
    <w:p>
      <w:pPr>
        <w:pStyle w:val="FootnoteText"/>
        <w:jc w:val="both"/>
        <w:rPr/>
      </w:pPr>
      <w:r>
        <w:rPr>
          <w:rStyle w:val="Style13"/>
        </w:rPr>
        <w:footnoteRef/>
      </w:r>
      <w:r>
        <w:rPr/>
        <w:tab/>
        <w:t xml:space="preserve"> 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3"/>
        </w:rPr>
        <w:footnoteRef/>
      </w:r>
      <w:r>
        <w:rPr>
          <w:shd w:fill="C0C0C0" w:val="clear"/>
        </w:rPr>
        <w:tab/>
        <w:t xml:space="preserve"> 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shd w:fill="C0C0C0" w:val="clear"/>
          <w:lang w:eastAsia="en-US"/>
        </w:rPr>
        <w:t xml:space="preserve"> «О минимальной доле закупок товаров российского происхождения»</w:t>
      </w:r>
      <w:r>
        <w:rPr>
          <w:rFonts w:eastAsia="Calibr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4"/>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
    <w:lvlOverride w:ilvl="0">
      <w:startOverride w:val="1"/>
    </w:lvlOverride>
  </w:num>
  <w:num w:numId="125">
    <w:abstractNumId w:val="12"/>
  </w:num>
  <w:num w:numId="126">
    <w:abstractNumId w:val="12"/>
  </w:num>
  <w:num w:numId="127">
    <w:abstractNumId w:val="12"/>
  </w:num>
  <w:num w:numId="128">
    <w:abstractNumId w:val="12"/>
  </w:num>
  <w:num w:numId="129">
    <w:abstractNumId w:val="12"/>
  </w:num>
  <w:num w:numId="130">
    <w:abstractNumId w:val="12"/>
  </w:num>
  <w:num w:numId="131">
    <w:abstractNumId w:val="12"/>
  </w:num>
  <w:num w:numId="132">
    <w:abstractNumId w:val="12"/>
  </w:num>
  <w:num w:numId="133">
    <w:abstractNumId w:val="12"/>
  </w:num>
  <w:num w:numId="134">
    <w:abstractNumId w:val="22"/>
    <w:lvlOverride w:ilvl="0">
      <w:startOverride w:val="2"/>
    </w:lvlOverride>
    <w:lvlOverride w:ilvl="1">
      <w:startOverride w:val="3"/>
    </w:lvlOverride>
    <w:lvlOverride w:ilvl="2">
      <w:startOverride w:val="2"/>
    </w:lvlOverride>
  </w:num>
  <w:num w:numId="135">
    <w:abstractNumId w:val="12"/>
  </w:num>
  <w:num w:numId="136">
    <w:abstractNumId w:val="12"/>
  </w:num>
  <w:num w:numId="137">
    <w:abstractNumId w:val="12"/>
  </w:num>
  <w:num w:numId="138">
    <w:abstractNumId w:val="12"/>
  </w:num>
  <w:num w:numId="139">
    <w:abstractNumId w:val="12"/>
  </w:num>
  <w:num w:numId="140">
    <w:abstractNumId w:val="12"/>
  </w:num>
  <w:num w:numId="141">
    <w:abstractNumId w:val="12"/>
  </w:num>
  <w:num w:numId="142">
    <w:abstractNumId w:val="12"/>
  </w:num>
  <w:num w:numId="143">
    <w:abstractNumId w:val="12"/>
  </w:num>
  <w:num w:numId="144">
    <w:abstractNumId w:val="12"/>
  </w:num>
  <w:num w:numId="145">
    <w:abstractNumId w:val="12"/>
  </w:num>
  <w:num w:numId="146">
    <w:abstractNumId w:val="12"/>
  </w:num>
  <w:num w:numId="147">
    <w:abstractNumId w:val="12"/>
  </w:num>
  <w:num w:numId="148">
    <w:abstractNumId w:val="12"/>
  </w:num>
  <w:num w:numId="149">
    <w:abstractNumId w:val="12"/>
  </w:num>
  <w:num w:numId="150">
    <w:abstractNumId w:val="12"/>
  </w:num>
  <w:num w:numId="151">
    <w:abstractNumId w:val="12"/>
  </w:num>
  <w:num w:numId="152">
    <w:abstractNumId w:val="12"/>
  </w:num>
  <w:num w:numId="153">
    <w:abstractNumId w:val="12"/>
  </w:num>
  <w:num w:numId="154">
    <w:abstractNumId w:val="12"/>
  </w:num>
  <w:num w:numId="155">
    <w:abstractNumId w:val="12"/>
  </w:num>
  <w:num w:numId="156">
    <w:abstractNumId w:val="12"/>
  </w:num>
  <w:num w:numId="157">
    <w:abstractNumId w:val="12"/>
  </w:num>
  <w:num w:numId="158">
    <w:abstractNumId w:val="12"/>
  </w:num>
  <w:num w:numId="159">
    <w:abstractNumId w:val="12"/>
  </w:num>
  <w:num w:numId="160">
    <w:abstractNumId w:val="12"/>
  </w:num>
  <w:num w:numId="161">
    <w:abstractNumId w:val="12"/>
  </w:num>
  <w:num w:numId="162">
    <w:abstractNumId w:val="12"/>
  </w:num>
  <w:num w:numId="163">
    <w:abstractNumId w:val="12"/>
  </w:num>
  <w:num w:numId="164">
    <w:abstractNumId w:val="12"/>
  </w:num>
  <w:num w:numId="165">
    <w:abstractNumId w:val="12"/>
  </w:num>
  <w:num w:numId="166">
    <w:abstractNumId w:val="12"/>
  </w:num>
  <w:num w:numId="167">
    <w:abstractNumId w:val="12"/>
  </w:num>
  <w:num w:numId="168">
    <w:abstractNumId w:val="12"/>
  </w:num>
  <w:num w:numId="169">
    <w:abstractNumId w:val="12"/>
  </w:num>
  <w:num w:numId="170">
    <w:abstractNumId w:val="12"/>
  </w:num>
  <w:num w:numId="171">
    <w:abstractNumId w:val="12"/>
  </w:num>
  <w:num w:numId="172">
    <w:abstractNumId w:val="12"/>
  </w:num>
  <w:num w:numId="173">
    <w:abstractNumId w:val="12"/>
  </w:num>
  <w:num w:numId="174">
    <w:abstractNumId w:val="12"/>
  </w:num>
  <w:num w:numId="175">
    <w:abstractNumId w:val="12"/>
  </w:num>
  <w:num w:numId="176">
    <w:abstractNumId w:val="12"/>
  </w:num>
  <w:num w:numId="177">
    <w:abstractNumId w:val="12"/>
  </w:num>
  <w:num w:numId="178">
    <w:abstractNumId w:val="12"/>
  </w:num>
  <w:num w:numId="179">
    <w:abstractNumId w:val="12"/>
  </w:num>
  <w:num w:numId="180">
    <w:abstractNumId w:val="12"/>
  </w:num>
  <w:num w:numId="181">
    <w:abstractNumId w:val="12"/>
  </w:num>
  <w:num w:numId="182">
    <w:abstractNumId w:val="12"/>
  </w:num>
  <w:num w:numId="183">
    <w:abstractNumId w:val="12"/>
  </w:num>
  <w:num w:numId="184">
    <w:abstractNumId w:val="12"/>
  </w:num>
  <w:num w:numId="185">
    <w:abstractNumId w:val="12"/>
  </w:num>
  <w:num w:numId="186">
    <w:abstractNumId w:val="12"/>
  </w:num>
  <w:num w:numId="187">
    <w:abstractNumId w:val="12"/>
  </w:num>
  <w:num w:numId="188">
    <w:abstractNumId w:val="12"/>
  </w:num>
  <w:num w:numId="189">
    <w:abstractNumId w:val="12"/>
  </w:num>
  <w:num w:numId="190">
    <w:abstractNumId w:val="12"/>
  </w:num>
  <w:num w:numId="191">
    <w:abstractNumId w:val="12"/>
  </w:num>
  <w:num w:numId="192">
    <w:abstractNumId w:val="12"/>
  </w:num>
  <w:num w:numId="193">
    <w:abstractNumId w:val="12"/>
  </w:num>
  <w:num w:numId="194">
    <w:abstractNumId w:val="12"/>
  </w:num>
  <w:num w:numId="195">
    <w:abstractNumId w:val="12"/>
  </w:num>
  <w:num w:numId="196">
    <w:abstractNumId w:val="12"/>
  </w:num>
  <w:num w:numId="197">
    <w:abstractNumId w:val="12"/>
  </w:num>
  <w:num w:numId="198">
    <w:abstractNumId w:val="12"/>
  </w:num>
  <w:num w:numId="199">
    <w:abstractNumId w:val="12"/>
  </w:num>
  <w:num w:numId="200">
    <w:abstractNumId w:val="12"/>
  </w:num>
  <w:num w:numId="201">
    <w:abstractNumId w:val="12"/>
  </w:num>
  <w:num w:numId="202">
    <w:abstractNumId w:val="12"/>
  </w:num>
  <w:num w:numId="203">
    <w:abstractNumId w:val="12"/>
  </w:num>
  <w:num w:numId="204">
    <w:abstractNumId w:val="12"/>
  </w:num>
  <w:num w:numId="205">
    <w:abstractNumId w:val="12"/>
  </w:num>
  <w:num w:numId="206">
    <w:abstractNumId w:val="12"/>
  </w:num>
  <w:num w:numId="207">
    <w:abstractNumId w:val="12"/>
  </w:num>
  <w:num w:numId="208">
    <w:abstractNumId w:val="12"/>
  </w:num>
  <w:num w:numId="209">
    <w:abstractNumId w:val="12"/>
  </w:num>
  <w:num w:numId="210">
    <w:abstractNumId w:val="12"/>
  </w:num>
  <w:num w:numId="211">
    <w:abstractNumId w:val="12"/>
  </w:num>
  <w:num w:numId="212">
    <w:abstractNumId w:val="12"/>
  </w:num>
  <w:num w:numId="213">
    <w:abstractNumId w:val="12"/>
  </w:num>
  <w:num w:numId="214">
    <w:abstractNumId w:val="12"/>
  </w:num>
  <w:num w:numId="215">
    <w:abstractNumId w:val="12"/>
  </w:num>
  <w:num w:numId="216">
    <w:abstractNumId w:val="12"/>
  </w:num>
  <w:num w:numId="217">
    <w:abstractNumId w:val="12"/>
  </w:num>
  <w:num w:numId="218">
    <w:abstractNumId w:val="12"/>
  </w:num>
  <w:num w:numId="219">
    <w:abstractNumId w:val="12"/>
  </w:num>
  <w:num w:numId="220">
    <w:abstractNumId w:val="12"/>
  </w:num>
  <w:num w:numId="221">
    <w:abstractNumId w:val="12"/>
  </w:num>
  <w:num w:numId="222">
    <w:abstractNumId w:val="12"/>
  </w:num>
  <w:num w:numId="223">
    <w:abstractNumId w:val="12"/>
  </w:num>
  <w:num w:numId="224">
    <w:abstractNumId w:val="12"/>
  </w:num>
  <w:num w:numId="225">
    <w:abstractNumId w:val="12"/>
  </w:num>
  <w:num w:numId="226">
    <w:abstractNumId w:val="12"/>
  </w:num>
  <w:num w:numId="227">
    <w:abstractNumId w:val="12"/>
  </w:num>
  <w:num w:numId="228">
    <w:abstractNumId w:val="12"/>
  </w:num>
  <w:num w:numId="229">
    <w:abstractNumId w:val="12"/>
  </w:num>
  <w:num w:numId="230">
    <w:abstractNumId w:val="12"/>
  </w:num>
  <w:num w:numId="231">
    <w:abstractNumId w:val="12"/>
  </w:num>
  <w:num w:numId="232">
    <w:abstractNumId w:val="12"/>
  </w:num>
  <w:num w:numId="233">
    <w:abstractNumId w:val="12"/>
  </w:num>
  <w:num w:numId="234">
    <w:abstractNumId w:val="12"/>
  </w:num>
  <w:num w:numId="235">
    <w:abstractNumId w:val="12"/>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6668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d66689"/>
    <w:rPr>
      <w:rFonts w:ascii="Calibri Light" w:hAnsi="Calibri Light" w:eastAsia="" w:cs="" w:asciiTheme="majorHAnsi" w:cstheme="majorBidi" w:eastAsiaTheme="majorEastAsia" w:hAnsiTheme="majorHAnsi"/>
      <w:i/>
      <w:iCs/>
      <w:color w:val="2E74B5" w:themeColor="accent1" w:themeShade="bf"/>
    </w:rPr>
  </w:style>
  <w:style w:type="character" w:styleId="Style19" w:customStyle="1">
    <w:name w:val="Символ нумераци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5"/>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0"/>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екст в заданном формате"/>
    <w:basedOn w:val="Normal"/>
    <w:qFormat/>
    <w:pPr/>
    <w:rPr>
      <w:rFonts w:ascii="Liberation Mono" w:hAnsi="Liberation Mono" w:eastAsia="Liberation Mono" w:cs="Liberation Mono"/>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footer" Target="footer1.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0803C7-E84E-446B-BD28-0D514BB7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Application>AlterOffice/3.4.0.9$Linux_X86_64 LibreOffice_project/b8daf9e823b1a5463a2f48435ddc2e8696e7d4fc</Application>
  <AppVersion>15.0000</AppVersion>
  <Pages>21</Pages>
  <Words>6498</Words>
  <Characters>45483</Characters>
  <CharactersWithSpaces>51973</CharactersWithSpaces>
  <Paragraphs>329</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2025-07-28T07:51:00Z</dcterms:created>
  <dc:creator>tsypilev_ag</dc:creator>
  <dc:description/>
  <dc:language>ru-RU</dc:language>
  <cp:lastModifiedBy>kononenkoev@corp.gidroogk.com</cp:lastModifiedBy>
  <cp:lastPrinted>2023-03-06T07:59:00Z</cp:lastPrinted>
  <dcterms:modified xsi:type="dcterms:W3CDTF">2025-10-10T11:44:58Z</dcterms:modified>
  <cp:revision>12</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