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4962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416967041"/>
      <w:bookmarkStart w:id="1" w:name="_Toc1398562871"/>
      <w:bookmarkStart w:id="2" w:name="_Toc1375545841"/>
      <w:bookmarkStart w:id="3" w:name="_Toc1416967041"/>
      <w:bookmarkStart w:id="4" w:name="_Toc1398562871"/>
      <w:bookmarkStart w:id="5" w:name="_Toc1375545841"/>
      <w:bookmarkEnd w:id="3"/>
      <w:bookmarkEnd w:id="4"/>
      <w:bookmarkEnd w:id="5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ОКПД2 38.11.29.000 Оказание услуг по транспортированию отходов IV - V класса опасности в рамках реализации проекта «Строительство 2-ой очереди Нерюнгринской ГРЭС»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/>
      </w:pPr>
      <w:r>
        <w:rPr>
          <w:rFonts w:eastAsia="Calibri"/>
          <w:b/>
          <w:sz w:val="26"/>
          <w:szCs w:val="26"/>
        </w:rPr>
        <w:t>Лот № 3288-АХР ДОР ДОХ-2025-ТК_Дальневост_фил</w:t>
      </w:r>
    </w:p>
    <w:p>
      <w:pPr>
        <w:pStyle w:val="Normal"/>
        <w:jc w:val="center"/>
        <w:rPr>
          <w:rFonts w:eastAsia="Calibri"/>
          <w:b/>
          <w:color w:val="000000"/>
          <w:sz w:val="26"/>
          <w:szCs w:val="26"/>
          <w:shd w:fill="FFFFFF" w:val="clear"/>
        </w:rPr>
      </w:pPr>
      <w:r>
        <w:rPr>
          <w:rFonts w:eastAsia="Calibri"/>
          <w:b/>
          <w:color w:val="000000"/>
          <w:sz w:val="26"/>
          <w:szCs w:val="26"/>
          <w:shd w:fill="FFFFFF" w:val="clear"/>
        </w:rPr>
      </w:r>
    </w:p>
    <w:p>
      <w:pPr>
        <w:pStyle w:val="Normal"/>
        <w:jc w:val="center"/>
        <w:rPr>
          <w:rFonts w:eastAsia="Calibri"/>
          <w:b/>
          <w:sz w:val="26"/>
          <w:szCs w:val="26"/>
          <w:shd w:fill="FFFF00" w:val="clear"/>
        </w:rPr>
      </w:pPr>
      <w:r>
        <w:rPr>
          <w:rFonts w:eastAsia="Calibri"/>
          <w:b/>
          <w:sz w:val="26"/>
          <w:szCs w:val="26"/>
          <w:shd w:fill="FFFF00" w:val="clear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  <w:rFonts w:eastAsia="Calibri"/>
            </w:rPr>
            <w:fldChar w:fldCharType="separate"/>
          </w:r>
          <w:hyperlink w:anchor="_Toc150444132">
            <w:r>
              <w:rPr>
                <w:webHidden/>
                <w:rStyle w:val="Style14"/>
                <w:rFonts w:eastAsia="Calibri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 xml:space="preserve">Общие сведения               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_Toc150444132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444133">
            <w:r>
              <w:rPr>
                <w:webHidden/>
                <w:rStyle w:val="Style14"/>
                <w:rFonts w:eastAsia="Calibri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 xml:space="preserve">Обозначения и сокращения                   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_Toc150444133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444134">
            <w:r>
              <w:rPr>
                <w:webHidden/>
                <w:rStyle w:val="Style14"/>
                <w:rFonts w:eastAsia="Calibri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 xml:space="preserve">Наименование закупаемой продукции 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_Toc150444134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50444135">
            <w:r>
              <w:rPr>
                <w:webHidden/>
                <w:rStyle w:val="Style14"/>
                <w:rFonts w:eastAsia="Calibri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 xml:space="preserve">Цель оказания услуг                               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_Toc150444135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Calibri"/>
            </w:rPr>
          </w:pPr>
          <w:r>
            <w:rPr>
              <w:rFonts w:eastAsia="Calibri"/>
            </w:rPr>
            <w:t>1.4. Существующее положение                                                                                                                                         3</w:t>
          </w:r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444137">
            <w:r>
              <w:rPr>
                <w:webHidden/>
                <w:rStyle w:val="Style14"/>
                <w:rFonts w:eastAsia="Calibri"/>
                <w:vanish w:val="false"/>
              </w:rPr>
              <w:t xml:space="preserve">Таблица 1. Перечень объектов заказчика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_Toc150444137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444138">
            <w:r>
              <w:rPr>
                <w:webHidden/>
                <w:rStyle w:val="Style14"/>
                <w:rFonts w:eastAsia="Calibri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  <w:iCs/>
              </w:rPr>
              <w:t xml:space="preserve">Требования к продукции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_Toc150444138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444139">
            <w:r>
              <w:rPr>
                <w:webHidden/>
                <w:rStyle w:val="Style14"/>
                <w:rFonts w:eastAsia="Calibri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 xml:space="preserve">Требования к объемам и срокам оказания услуг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_Toc150444139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10194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444140">
            <w:r>
              <w:rPr>
                <w:webHidden/>
                <w:rStyle w:val="Style14"/>
                <w:rFonts w:eastAsia="Calibri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 xml:space="preserve">Требования к перечню и объему услуг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_Toc150444140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444141">
            <w:r>
              <w:rPr>
                <w:webHidden/>
                <w:rStyle w:val="Style14"/>
                <w:rFonts w:eastAsia="Calibri"/>
                <w:vanish w:val="false"/>
              </w:rPr>
              <w:t xml:space="preserve">Таблица 2. Перечень и объем оказываемых услуг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_Toc150444141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10194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444142">
            <w:r>
              <w:rPr>
                <w:webHidden/>
                <w:rStyle w:val="Style14"/>
                <w:rFonts w:eastAsia="Calibri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 xml:space="preserve">Требования к срокам оказания услуг   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_Toc150444142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50444143">
            <w:r>
              <w:rPr>
                <w:webHidden/>
                <w:rStyle w:val="Style14"/>
                <w:rFonts w:eastAsia="Calibri"/>
                <w:vanish w:val="false"/>
              </w:rPr>
              <w:t xml:space="preserve">Таблица 3. Требования к срокам оказания услуг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_Toc150444143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Calibri"/>
            </w:rPr>
          </w:pPr>
          <w:r>
            <w:rPr>
              <w:rFonts w:eastAsia="Calibri"/>
            </w:rPr>
            <w:t>2.2.</w:t>
            <w:tab/>
            <w:t>Требования к качеству услуг                                                                                                                                  5</w:t>
          </w:r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444145">
            <w:r>
              <w:rPr>
                <w:webHidden/>
                <w:rStyle w:val="Style14"/>
                <w:rFonts w:eastAsia="Calibri"/>
                <w:vanish w:val="false"/>
              </w:rPr>
              <w:t>Таблица 4. Требования к качеству услуг</w:t>
            </w:r>
          </w:hyperlink>
          <w:r>
            <w:rPr/>
            <w:t xml:space="preserve">                                                                                              5</w:t>
          </w:r>
        </w:p>
        <w:p>
          <w:pPr>
            <w:pStyle w:val="TOC1"/>
            <w:rPr/>
          </w:pPr>
          <w:hyperlink w:anchor="_Toc150444156">
            <w:r>
              <w:rPr>
                <w:webHidden/>
                <w:rStyle w:val="Style14"/>
                <w:rFonts w:eastAsia="Calibri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</w:hyperlink>
          <w:r>
            <w:rPr>
              <w:rFonts w:eastAsia="Calibri"/>
            </w:rPr>
            <w:t>Требования к документации по ценообразованию на этапе закупки                                    9</w:t>
          </w:r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r>
            <w:rPr/>
            <w:t>4. Требования к документации по ценообразованию на этапе заключения (исполнения договора)                                                                                                                                                    1</w:t>
          </w:r>
          <w:r>
            <w:rPr>
              <w:rFonts w:eastAsia="" w:cs="" w:ascii="Calibri" w:hAnsi="Calibri" w:asciiTheme="minorHAnsi" w:cstheme="minorBidi" w:eastAsiaTheme="minorEastAsia" w:hAnsiTheme="minorHAnsi"/>
              <w:sz w:val="22"/>
              <w:szCs w:val="22"/>
            </w:rPr>
            <w:t>0</w:t>
          </w:r>
          <w:r>
            <w:rPr>
              <w:sz w:val="22"/>
              <w:szCs w:val="22"/>
              <w:rFonts w:eastAsia="" w:cs="" w:ascii="Calibri" w:hAnsi="Calibri"/>
            </w:rPr>
            <w:fldChar w:fldCharType="end"/>
          </w:r>
        </w:p>
      </w:sdtContent>
    </w:sdt>
    <w:p>
      <w:pPr>
        <w:pStyle w:val="TOC1"/>
        <w:rPr>
          <w:rFonts w:eastAsia="" w:eastAsiaTheme="minorEastAsia"/>
        </w:rPr>
      </w:pPr>
      <w:r>
        <w:rPr>
          <w:rFonts w:eastAsia="" w:eastAsiaTheme="minorEastAsia"/>
        </w:rPr>
        <w:t xml:space="preserve">5. Приложения……………………………………………………………………………….………….10 </w:t>
      </w:r>
    </w:p>
    <w:p>
      <w:pPr>
        <w:pStyle w:val="TOC1"/>
        <w:rPr>
          <w:rFonts w:eastAsia="" w:eastAsiaTheme="minorEastAsia"/>
        </w:rPr>
      </w:pPr>
      <w:r>
        <w:rPr>
          <w:rFonts w:eastAsia="" w:eastAsiaTheme="minorEastAsia"/>
        </w:rPr>
        <w:t>Приложение № 1 — Маршрут движения……………………………………….........................…...11</w:t>
      </w:r>
    </w:p>
    <w:p>
      <w:pPr>
        <w:pStyle w:val="Normal"/>
        <w:rPr>
          <w:rFonts w:eastAsia="" w:eastAsiaTheme="minorEastAsia"/>
          <w:b/>
        </w:rPr>
      </w:pPr>
      <w:r>
        <w:rPr>
          <w:rFonts w:eastAsia="" w:eastAsiaTheme="minorEastAsia"/>
          <w:b/>
        </w:rPr>
        <w:t>Приложение № 2 — Коммерческое предложение .…………….   ....................…...12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0" w:hanging="0"/>
        <w:jc w:val="center"/>
        <w:rPr>
          <w:b/>
          <w:caps/>
        </w:rPr>
      </w:pPr>
      <w:r>
        <w:rPr>
          <w:b/>
        </w:rPr>
        <w:t>О</w:t>
      </w:r>
      <w:bookmarkStart w:id="6" w:name="_Toc150444132"/>
      <w:r>
        <w:rPr>
          <w:b/>
        </w:rPr>
        <w:t>бщие сведения</w:t>
      </w:r>
      <w:bookmarkEnd w:id="6"/>
    </w:p>
    <w:p>
      <w:pPr>
        <w:pStyle w:val="Heading4"/>
        <w:numPr>
          <w:ilvl w:val="1"/>
          <w:numId w:val="3"/>
        </w:numPr>
        <w:ind w:left="0" w:firstLine="709"/>
        <w:rPr>
          <w:b/>
          <w:bCs/>
        </w:rPr>
      </w:pPr>
      <w:bookmarkStart w:id="7" w:name="_Toc150444133"/>
      <w:bookmarkStart w:id="8" w:name="_Toc130396882"/>
      <w:bookmarkStart w:id="9" w:name="_Toc46743505"/>
      <w:r>
        <w:rPr>
          <w:b/>
          <w:bCs/>
        </w:rPr>
        <w:t>Обозначения и сокращения</w:t>
      </w:r>
      <w:bookmarkEnd w:id="7"/>
      <w:bookmarkEnd w:id="8"/>
      <w:bookmarkEnd w:id="9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ТР 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Технический регламент таможенного союза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bCs/>
                <w:sz w:val="24"/>
                <w:szCs w:val="24"/>
              </w:rPr>
              <w:t>ТБО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Твердые бытовые отходы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bCs/>
                <w:sz w:val="24"/>
                <w:szCs w:val="24"/>
              </w:rPr>
              <w:t>ПДД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Правила дорожного движения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bCs/>
                <w:sz w:val="24"/>
                <w:szCs w:val="24"/>
              </w:rPr>
              <w:t>ГРОРО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Государственный реестр объектов размещения отходов</w:t>
            </w:r>
          </w:p>
        </w:tc>
      </w:tr>
      <w:tr>
        <w:trPr>
          <w:trHeight w:val="667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bCs/>
                <w:sz w:val="24"/>
                <w:szCs w:val="24"/>
              </w:rPr>
              <w:t>ОСАГО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Обязательное страхование гражданской ответственности владельцев транспортных средств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bCs/>
                <w:sz w:val="24"/>
                <w:szCs w:val="24"/>
              </w:rPr>
              <w:t>ФККО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Федеральный классификационный каталог отходов</w:t>
            </w:r>
          </w:p>
        </w:tc>
      </w:tr>
    </w:tbl>
    <w:p>
      <w:pPr>
        <w:pStyle w:val="Heading4"/>
        <w:numPr>
          <w:ilvl w:val="1"/>
          <w:numId w:val="3"/>
        </w:numPr>
        <w:spacing w:before="0" w:after="0"/>
        <w:ind w:left="0" w:firstLine="709"/>
        <w:rPr>
          <w:b/>
          <w:bCs/>
        </w:rPr>
      </w:pPr>
      <w:bookmarkStart w:id="10" w:name="_Toc150444134"/>
      <w:bookmarkStart w:id="11" w:name="_Toc130396883"/>
      <w:bookmarkStart w:id="12" w:name="_Toc46743506"/>
      <w:r>
        <w:rPr>
          <w:b/>
          <w:bCs/>
        </w:rPr>
        <w:t>Наименование закупаемой продукции</w:t>
      </w:r>
      <w:bookmarkEnd w:id="10"/>
      <w:bookmarkEnd w:id="11"/>
      <w:bookmarkEnd w:id="12"/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 xml:space="preserve">ОКПД2 38.11.29.000 Оказание услуг по транспортированию строительных отходов </w:t>
      </w:r>
      <w:r>
        <w:rPr>
          <w:sz w:val="24"/>
          <w:szCs w:val="24"/>
          <w:shd w:fill="FFFFFF" w:val="clear"/>
        </w:rPr>
        <w:t>IV - V класса опасности в рамках реализации проекта «Строительство 2-ой очереди Нерюнгринской ГРЭС»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0" w:after="0"/>
        <w:ind w:left="0" w:firstLine="709"/>
        <w:rPr>
          <w:b/>
          <w:bCs/>
        </w:rPr>
      </w:pPr>
      <w:bookmarkStart w:id="13" w:name="_Toc150444135"/>
      <w:bookmarkStart w:id="14" w:name="_Toc130396884"/>
      <w:bookmarkStart w:id="15" w:name="_Toc46743507"/>
      <w:r>
        <w:rPr>
          <w:b/>
          <w:bCs/>
        </w:rPr>
        <w:t xml:space="preserve">Цель </w:t>
      </w:r>
      <w:bookmarkEnd w:id="15"/>
      <w:r>
        <w:rPr>
          <w:b/>
          <w:bCs/>
        </w:rPr>
        <w:t>оказания услуг</w:t>
      </w:r>
      <w:bookmarkEnd w:id="13"/>
      <w:bookmarkEnd w:id="14"/>
      <w:r>
        <w:rPr>
          <w:b/>
          <w:bCs/>
        </w:rPr>
        <w:t xml:space="preserve"> </w:t>
      </w:r>
    </w:p>
    <w:p>
      <w:pPr>
        <w:pStyle w:val="Normal"/>
        <w:ind w:firstLine="709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Оказание услуг по транспортированию строительных отходов IV - V класса опасности в рамках реализации проекта «Строительство 2-ой очереди Нерюнгринской ГРЭС» на полигон в бесперебойном режиме.</w:t>
      </w:r>
    </w:p>
    <w:p>
      <w:pPr>
        <w:pStyle w:val="Normal"/>
        <w:ind w:firstLine="709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  <w:bookmarkStart w:id="16" w:name="_Toc46743508"/>
      <w:bookmarkStart w:id="17" w:name="_Toc46743508"/>
      <w:bookmarkEnd w:id="17"/>
    </w:p>
    <w:p>
      <w:pPr>
        <w:pStyle w:val="Heading4"/>
        <w:spacing w:before="0" w:after="0"/>
        <w:ind w:left="0" w:firstLine="709"/>
        <w:rPr>
          <w:b/>
          <w:bCs/>
        </w:rPr>
      </w:pPr>
      <w:r>
        <w:rPr>
          <w:b/>
          <w:bCs/>
        </w:rPr>
        <w:t>1.4. Существующее положение</w:t>
      </w:r>
    </w:p>
    <w:p>
      <w:pPr>
        <w:pStyle w:val="Normal"/>
        <w:ind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Услуги по транспортированию строительных отходов IV - V класса опасности осуществляются  на объекте заказчика согласно перечню (Таблица 1 «Перечень объектов заказчика»).</w:t>
      </w:r>
    </w:p>
    <w:p>
      <w:pPr>
        <w:pStyle w:val="Heading1"/>
        <w:rPr>
          <w:b/>
          <w:bCs/>
        </w:rPr>
      </w:pPr>
      <w:bookmarkStart w:id="18" w:name="_Toc150444137"/>
      <w:bookmarkStart w:id="19" w:name="_Toc46743508_Копия_1"/>
      <w:bookmarkEnd w:id="19"/>
      <w:r>
        <w:rPr>
          <w:b/>
          <w:bCs/>
          <w:sz w:val="24"/>
          <w:szCs w:val="24"/>
        </w:rPr>
        <w:t>Таблица 1. Перечень объектов заказчика</w:t>
      </w:r>
      <w:bookmarkEnd w:id="18"/>
    </w:p>
    <w:tbl>
      <w:tblPr>
        <w:tblW w:w="1025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1"/>
        <w:gridCol w:w="3034"/>
        <w:gridCol w:w="3212"/>
        <w:gridCol w:w="3165"/>
      </w:tblGrid>
      <w:tr>
        <w:trPr>
          <w:trHeight w:val="1182" w:hRule="atLeast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>
          <w:trHeight w:val="280" w:hRule="atLeast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837" w:hRule="atLeast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ОКПД2 38.11.29.000 Оказание услуг по транспортированию строительных отходов IV - V класса опасности в рамках реализации проекта «Строительство 2-ой очереди Нерюнгринской ГРЭС»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eastAsia="zh-CN"/>
              </w:rPr>
            </w:pPr>
            <w:r>
              <w:rPr>
                <w:iCs/>
                <w:sz w:val="24"/>
                <w:szCs w:val="24"/>
                <w:lang w:eastAsia="zh-CN"/>
              </w:rPr>
              <w:t>678995, Российская Федерация,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eastAsia="zh-CN"/>
              </w:rPr>
            </w:pPr>
            <w:r>
              <w:rPr>
                <w:iCs/>
                <w:sz w:val="24"/>
                <w:szCs w:val="24"/>
                <w:lang w:eastAsia="zh-CN"/>
              </w:rPr>
              <w:t>Республика Саха (Якутия), г.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eastAsia="zh-CN"/>
              </w:rPr>
            </w:pPr>
            <w:r>
              <w:rPr>
                <w:iCs/>
                <w:sz w:val="24"/>
                <w:szCs w:val="24"/>
                <w:lang w:eastAsia="zh-CN"/>
              </w:rPr>
              <w:t>Нерюнгри, пгт. Серебряный Бор,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eastAsia="zh-CN"/>
              </w:rPr>
            </w:pPr>
            <w:r>
              <w:rPr>
                <w:iCs/>
                <w:sz w:val="24"/>
                <w:szCs w:val="24"/>
                <w:lang w:eastAsia="zh-CN"/>
              </w:rPr>
              <w:t>производственная площадка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eastAsia="zh-CN"/>
              </w:rPr>
            </w:pPr>
            <w:r>
              <w:rPr>
                <w:iCs/>
                <w:sz w:val="24"/>
                <w:szCs w:val="24"/>
                <w:lang w:eastAsia="zh-CN"/>
              </w:rPr>
              <w:t>«Работы по устройству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eastAsia="zh-CN"/>
              </w:rPr>
            </w:pPr>
            <w:r>
              <w:rPr>
                <w:iCs/>
                <w:sz w:val="24"/>
                <w:szCs w:val="24"/>
                <w:lang w:eastAsia="zh-CN"/>
              </w:rPr>
              <w:t>главного корпуса на площадке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eastAsia="zh-CN"/>
              </w:rPr>
            </w:pPr>
            <w:r>
              <w:rPr>
                <w:iCs/>
                <w:sz w:val="24"/>
                <w:szCs w:val="24"/>
                <w:lang w:eastAsia="zh-CN"/>
              </w:rPr>
              <w:t>строительства «2-ой очереди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iCs/>
                <w:sz w:val="24"/>
                <w:szCs w:val="24"/>
                <w:lang w:eastAsia="zh-CN"/>
              </w:rPr>
              <w:t>Нерюнгринской ГРЭС»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Строительство 2-й очереди Нерюнгринской ГРЭС</w:t>
            </w:r>
          </w:p>
        </w:tc>
      </w:tr>
    </w:tbl>
    <w:p>
      <w:pPr>
        <w:pStyle w:val="Heading1"/>
        <w:numPr>
          <w:ilvl w:val="0"/>
          <w:numId w:val="3"/>
        </w:numPr>
        <w:ind w:left="0" w:hanging="0"/>
        <w:jc w:val="center"/>
        <w:rPr>
          <w:b/>
          <w:caps/>
          <w:lang w:val="ru-RU"/>
        </w:rPr>
      </w:pPr>
      <w:bookmarkStart w:id="20" w:name="_Toc150444138"/>
      <w:bookmarkStart w:id="21" w:name="_Toc51339693"/>
      <w:r>
        <w:rPr>
          <w:b/>
          <w:lang w:val="ru-RU"/>
        </w:rPr>
        <w:t>Требования</w:t>
      </w:r>
      <w:r>
        <w:rPr>
          <w:b/>
        </w:rPr>
        <w:t xml:space="preserve"> к продукции</w:t>
      </w:r>
      <w:bookmarkEnd w:id="20"/>
      <w:bookmarkEnd w:id="21"/>
    </w:p>
    <w:p>
      <w:pPr>
        <w:pStyle w:val="Heading4"/>
        <w:numPr>
          <w:ilvl w:val="1"/>
          <w:numId w:val="3"/>
        </w:numPr>
        <w:spacing w:before="0" w:after="0"/>
        <w:ind w:left="0" w:firstLine="709"/>
        <w:rPr/>
      </w:pPr>
      <w:bookmarkStart w:id="22" w:name="_Toc150444139"/>
      <w:bookmarkStart w:id="23" w:name="_Toc130396890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2"/>
      <w:bookmarkEnd w:id="23"/>
    </w:p>
    <w:p>
      <w:pPr>
        <w:pStyle w:val="Heading3"/>
        <w:numPr>
          <w:ilvl w:val="2"/>
          <w:numId w:val="3"/>
        </w:numPr>
        <w:spacing w:before="0" w:after="0"/>
        <w:ind w:left="0" w:firstLine="709"/>
        <w:rPr/>
      </w:pPr>
      <w:bookmarkStart w:id="24" w:name="_Toc130396891"/>
      <w:bookmarkStart w:id="25" w:name="_Toc150444140"/>
      <w:r>
        <w:rPr/>
        <w:t>Требования к перечню и объему услуг</w:t>
      </w:r>
      <w:bookmarkEnd w:id="24"/>
      <w:bookmarkEnd w:id="25"/>
    </w:p>
    <w:p>
      <w:pPr>
        <w:pStyle w:val="Heading1"/>
        <w:spacing w:before="0" w:after="0"/>
        <w:rPr>
          <w:sz w:val="24"/>
          <w:szCs w:val="24"/>
        </w:rPr>
      </w:pPr>
      <w:bookmarkStart w:id="26" w:name="_Toc54643705"/>
      <w:bookmarkStart w:id="27" w:name="_Toc150444141"/>
      <w:bookmarkStart w:id="28" w:name="_Toc51339695"/>
      <w:r>
        <w:rPr>
          <w:sz w:val="24"/>
          <w:szCs w:val="24"/>
        </w:rPr>
        <w:t xml:space="preserve">Таблица 2. Перечень </w:t>
      </w:r>
      <w:bookmarkEnd w:id="28"/>
      <w:r>
        <w:rPr>
          <w:sz w:val="24"/>
          <w:szCs w:val="24"/>
        </w:rPr>
        <w:t>и объем оказываемых услуг</w:t>
      </w:r>
      <w:bookmarkEnd w:id="26"/>
      <w:bookmarkEnd w:id="27"/>
    </w:p>
    <w:tbl>
      <w:tblPr>
        <w:tblW w:w="1017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24"/>
        <w:gridCol w:w="4154"/>
        <w:gridCol w:w="1418"/>
        <w:gridCol w:w="1699"/>
        <w:gridCol w:w="2377"/>
      </w:tblGrid>
      <w:tr>
        <w:trPr>
          <w:trHeight w:val="550" w:hRule="atLeast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ТС</w:t>
            </w:r>
            <w:r>
              <w:rPr>
                <w:color w:val="000000" w:themeColor="text1"/>
                <w:sz w:val="24"/>
                <w:szCs w:val="24"/>
              </w:rPr>
              <w:t>, не менее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отходов/плечо вывоза (тонна/километр)*</w:t>
            </w:r>
          </w:p>
        </w:tc>
      </w:tr>
      <w:tr>
        <w:trPr>
          <w:trHeight w:val="266" w:hRule="atLeast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727" w:hRule="atLeast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ОКПД2 38.11.29.000 Оказание услуг по транспортированию строительных отходов IV - V класса опасности в рамках реализации проекта «Строительство 2-ой очереди Нерюнгринской ГРЭС» в 2025 году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тн/км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1917,</w:t>
            </w:r>
            <w:r>
              <w:rPr>
                <w:i/>
                <w:sz w:val="24"/>
                <w:szCs w:val="24"/>
                <w:lang w:val="en-US"/>
              </w:rPr>
              <w:t>4</w:t>
            </w:r>
            <w:r>
              <w:rPr>
                <w:i/>
                <w:sz w:val="24"/>
                <w:szCs w:val="24"/>
              </w:rPr>
              <w:t xml:space="preserve"> /5</w:t>
            </w:r>
          </w:p>
        </w:tc>
      </w:tr>
      <w:tr>
        <w:trPr>
          <w:trHeight w:val="1695" w:hRule="atLeast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ОКПД2 38.11.29.000 Оказание услуг по транспортированию строительных отходов IV - V класса опасности в рамках реализации проекта «Строительство 2-ой очереди Нерюнгринской ГРЭС» в 2026 году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тн/км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7059,5 /5</w:t>
            </w:r>
          </w:p>
        </w:tc>
      </w:tr>
      <w:tr>
        <w:trPr>
          <w:trHeight w:val="515" w:hRule="atLeast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тн/км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8976,9 /5</w:t>
            </w:r>
          </w:p>
        </w:tc>
      </w:tr>
    </w:tbl>
    <w:p>
      <w:pPr>
        <w:pStyle w:val="Heading3"/>
        <w:rPr>
          <w:lang w:val="ru-RU"/>
        </w:rPr>
      </w:pPr>
      <w:r>
        <w:rPr/>
        <w:t xml:space="preserve">*Объем продукции является ориентировочным, и Заказчик не несет ответственность за неполную выборку продукции на общую сумму договора. </w:t>
      </w:r>
    </w:p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3"/>
        </w:numPr>
        <w:spacing w:before="0" w:after="0"/>
        <w:ind w:left="0" w:firstLine="720"/>
        <w:rPr/>
      </w:pPr>
      <w:bookmarkStart w:id="29" w:name="_Toc130396892"/>
      <w:bookmarkStart w:id="30" w:name="_Toc150444142"/>
      <w:bookmarkStart w:id="31" w:name="_Toc51339696"/>
      <w:r>
        <w:rPr/>
        <w:t xml:space="preserve">Требования </w:t>
      </w:r>
      <w:bookmarkEnd w:id="31"/>
      <w:r>
        <w:rPr/>
        <w:t>к срокам оказания услуг</w:t>
      </w:r>
      <w:bookmarkEnd w:id="29"/>
      <w:bookmarkEnd w:id="30"/>
    </w:p>
    <w:p>
      <w:pPr>
        <w:pStyle w:val="Heading1"/>
        <w:spacing w:before="0" w:after="0"/>
        <w:ind w:firstLine="720"/>
        <w:rPr>
          <w:sz w:val="24"/>
          <w:szCs w:val="24"/>
          <w:lang w:val="ru-RU"/>
        </w:rPr>
      </w:pPr>
      <w:bookmarkStart w:id="32" w:name="_Toc150444143"/>
      <w:bookmarkStart w:id="33" w:name="_Toc50125127"/>
      <w:bookmarkStart w:id="34" w:name="_Toc513396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5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3"/>
      <w:bookmarkEnd w:id="34"/>
      <w:bookmarkEnd w:id="35"/>
      <w:r>
        <w:rPr>
          <w:sz w:val="24"/>
          <w:szCs w:val="24"/>
          <w:lang w:val="ru-RU"/>
        </w:rPr>
        <w:t>оказания услуг</w:t>
      </w:r>
      <w:bookmarkEnd w:id="32"/>
    </w:p>
    <w:tbl>
      <w:tblPr>
        <w:tblW w:w="1055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3246"/>
        <w:gridCol w:w="3176"/>
        <w:gridCol w:w="3419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ОКПД2 38.11.29.000 Оказание услуг по транспортированию строительных отходов IV - V класса опасности в рамках реализации проекта «Строительство 2-ой очереди Нерюнгринской ГРЭС»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с даты заключения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договора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left="0" w:firstLine="709"/>
        <w:rPr>
          <w:b/>
          <w:bCs/>
        </w:rPr>
      </w:pPr>
      <w:bookmarkStart w:id="36" w:name="_Toc130396894"/>
      <w:bookmarkStart w:id="37" w:name="_Toc150444144"/>
      <w:r>
        <w:rPr>
          <w:b/>
          <w:bCs/>
        </w:rPr>
        <w:t>Требования к качеству услуг</w:t>
      </w:r>
      <w:bookmarkEnd w:id="36"/>
      <w:bookmarkEnd w:id="37"/>
    </w:p>
    <w:p>
      <w:pPr>
        <w:pStyle w:val="Heading1"/>
        <w:rPr>
          <w:b/>
          <w:bCs/>
        </w:rPr>
      </w:pPr>
      <w:bookmarkStart w:id="38" w:name="_Toc150444145"/>
      <w:r>
        <w:rPr>
          <w:b/>
          <w:bCs/>
          <w:sz w:val="24"/>
          <w:szCs w:val="24"/>
        </w:rPr>
        <w:t>Таблица </w:t>
      </w:r>
      <w:r>
        <w:rPr>
          <w:b/>
          <w:bCs/>
          <w:sz w:val="24"/>
          <w:szCs w:val="24"/>
          <w:lang w:val="ru-RU"/>
        </w:rPr>
        <w:t>4</w:t>
      </w:r>
      <w:r>
        <w:rPr>
          <w:b/>
          <w:bCs/>
          <w:sz w:val="24"/>
          <w:szCs w:val="24"/>
        </w:rPr>
        <w:t xml:space="preserve">. Требования к </w:t>
      </w:r>
      <w:r>
        <w:rPr>
          <w:b/>
          <w:bCs/>
          <w:sz w:val="24"/>
          <w:szCs w:val="24"/>
          <w:lang w:val="ru-RU"/>
        </w:rPr>
        <w:t>качеству услуг</w:t>
      </w:r>
      <w:bookmarkEnd w:id="38"/>
      <w:r>
        <w:rPr>
          <w:b/>
          <w:bCs/>
          <w:sz w:val="24"/>
          <w:szCs w:val="24"/>
        </w:rPr>
        <w:t xml:space="preserve"> </w:t>
      </w:r>
    </w:p>
    <w:p>
      <w:pPr>
        <w:pStyle w:val="Normal"/>
        <w:jc w:val="both"/>
        <w:rPr>
          <w:sz w:val="26"/>
          <w:szCs w:val="26"/>
        </w:rPr>
      </w:pPr>
      <w:r>
        <w:rPr>
          <w:b/>
          <w:bCs/>
          <w:sz w:val="24"/>
          <w:szCs w:val="24"/>
        </w:rPr>
        <w:t>Наименование услуг/этапа услуг (позиция №1 Таблицы 2):</w:t>
      </w:r>
      <w:r>
        <w:rPr>
          <w:iCs/>
          <w:color w:val="000000"/>
          <w:sz w:val="24"/>
          <w:szCs w:val="24"/>
        </w:rPr>
        <w:t xml:space="preserve"> </w:t>
      </w:r>
      <w:r>
        <w:rPr>
          <w:iCs/>
          <w:sz w:val="24"/>
          <w:szCs w:val="24"/>
        </w:rPr>
        <w:t>Оказание услуг по транспортированию строительных отходов IV - V класса опасности в рамках реализации проекта «Строительство 2-ой очереди Нерюнгринской ГРЭС»</w:t>
      </w:r>
      <w:r>
        <w:rPr>
          <w:iCs/>
          <w:color w:val="000000"/>
          <w:sz w:val="24"/>
          <w:szCs w:val="24"/>
        </w:rPr>
        <w:t>.</w:t>
      </w:r>
    </w:p>
    <w:tbl>
      <w:tblPr>
        <w:tblStyle w:val="affff9"/>
        <w:tblW w:w="1516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3"/>
        <w:gridCol w:w="2949"/>
        <w:gridCol w:w="8107"/>
        <w:gridCol w:w="3118"/>
      </w:tblGrid>
      <w:tr>
        <w:trPr>
          <w:trHeight w:val="276" w:hRule="atLeast"/>
        </w:trPr>
        <w:tc>
          <w:tcPr>
            <w:tcW w:w="9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94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810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11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>
          <w:trHeight w:val="276" w:hRule="atLeast"/>
        </w:trPr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4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810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1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81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311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заявке согласие оказать услуги, полностью соответствующие настоящим техническим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110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9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hd w:fill="FFFFFF" w:val="clear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Соответствие требованиям законодательства РФ</w:t>
            </w:r>
          </w:p>
        </w:tc>
        <w:tc>
          <w:tcPr>
            <w:tcW w:w="8107" w:type="dxa"/>
            <w:tcBorders/>
            <w:shd w:color="auto" w:fill="auto" w:val="clear"/>
            <w:vAlign w:val="center"/>
          </w:tcPr>
          <w:p>
            <w:pPr>
              <w:pStyle w:val="Default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Услуги должны быть оказаны с соблюдением требований санитарного и природоохранного законодательства РФ:</w:t>
            </w:r>
          </w:p>
          <w:p>
            <w:pPr>
              <w:pStyle w:val="Default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-  Федерального закона от 24.06.1998 № 89-ФЗ «Об отходах производства и потребления» (в действующей редакции);</w:t>
            </w:r>
          </w:p>
          <w:p>
            <w:pPr>
              <w:pStyle w:val="Default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- Федерального закона от 10.01.2002 № 7-ФЗ «Об охране окружающей среды» (в действующей редакции);</w:t>
            </w:r>
          </w:p>
          <w:p>
            <w:pPr>
              <w:pStyle w:val="Default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- ГОСТ Р 57678-2017 «Ресурсосбережение. Обращение с отходами. Ликвидация строительных отходов»</w:t>
            </w:r>
          </w:p>
        </w:tc>
        <w:tc>
          <w:tcPr>
            <w:tcW w:w="311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Схема транспортирования</w:t>
            </w:r>
          </w:p>
        </w:tc>
        <w:tc>
          <w:tcPr>
            <w:tcW w:w="810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Транспортирование отходов 4-5 классов опасности производится по схеме маршрута (Приложение №1 к настоящим ТТ)</w:t>
            </w:r>
          </w:p>
        </w:tc>
        <w:tc>
          <w:tcPr>
            <w:tcW w:w="311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1.1.3.</w:t>
            </w:r>
          </w:p>
        </w:tc>
        <w:tc>
          <w:tcPr>
            <w:tcW w:w="294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Перечень отходов для транспортирования на полигон</w:t>
            </w:r>
          </w:p>
        </w:tc>
        <w:tc>
          <w:tcPr>
            <w:tcW w:w="810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contextualSpacing/>
              <w:jc w:val="both"/>
              <w:rPr>
                <w:color w:val="202124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Отходы (мусор) от строительных и ремонтных работ </w:t>
            </w:r>
            <w:r>
              <w:rPr>
                <w:rFonts w:eastAsia="Times New Roman" w:cs="Times New Roman"/>
                <w:color w:val="202124"/>
                <w:kern w:val="0"/>
                <w:sz w:val="24"/>
                <w:szCs w:val="24"/>
                <w:lang w:val="ru-RU" w:eastAsia="ru-RU" w:bidi="ar-SA"/>
              </w:rPr>
              <w:t>(код ФККО 89000001724);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Шлак сварочный (</w:t>
            </w:r>
            <w:r>
              <w:rPr>
                <w:rFonts w:eastAsia="Times New Roman" w:cs="Times New Roman"/>
                <w:color w:val="202124"/>
                <w:kern w:val="0"/>
                <w:sz w:val="24"/>
                <w:szCs w:val="24"/>
                <w:lang w:val="ru-RU" w:eastAsia="ru-RU" w:bidi="ar-SA"/>
              </w:rPr>
              <w:t xml:space="preserve">код ФККО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91910002204); Остатки и огарки стальных сварочных электродов (</w:t>
            </w:r>
            <w:r>
              <w:rPr>
                <w:rFonts w:eastAsia="Times New Roman" w:cs="Times New Roman"/>
                <w:color w:val="202124"/>
                <w:kern w:val="0"/>
                <w:sz w:val="24"/>
                <w:szCs w:val="24"/>
                <w:lang w:val="ru-RU" w:eastAsia="ru-RU" w:bidi="ar-SA"/>
              </w:rPr>
              <w:t xml:space="preserve">код ФККО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91910001205); Отходы грунта от проведения открытых земляных работ практически неопасные (код ФККО 81111112495)</w:t>
            </w:r>
          </w:p>
        </w:tc>
        <w:tc>
          <w:tcPr>
            <w:tcW w:w="311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1.1.4.</w:t>
            </w:r>
          </w:p>
        </w:tc>
        <w:tc>
          <w:tcPr>
            <w:tcW w:w="294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Технические характеристики</w:t>
            </w:r>
          </w:p>
        </w:tc>
        <w:tc>
          <w:tcPr>
            <w:tcW w:w="810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автосамосвал JAC N350 6×4 (или эквивалент) в количестве 3(трех) единиц;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максимальная грузоподъемность не менее 15000 кг;</w:t>
            </w:r>
          </w:p>
        </w:tc>
        <w:tc>
          <w:tcPr>
            <w:tcW w:w="311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311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должны быть оказаны в соответствии с Федеральным законом от 08.11.2007 № 259-ФЗ  «Устав автомобильного транспорта и городского наземного электрического транспорта» (в действующей редакции), Федеральным законом от 10.12.1995 N 196-ФЗ «О безопасности дорожного движения»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(в действующей редакции).</w:t>
            </w:r>
          </w:p>
        </w:tc>
        <w:tc>
          <w:tcPr>
            <w:tcW w:w="311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должны быть оказаны в соответствии с Федеральным законом от 21.07.1997 № 116-ФЗ «О промышленной безопасности опасных производственных объектов» (в действующей редакции), с Приказом Ростехнадзора от 26.11.2020 № 461 (редакция от 22.01.2024)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сооружения», и в соответствии с Приказом Ростехнадзора от 20.10.2020 № 420  (редакция от 20.02.2024) «Об утверждении федеральных норм и правил в области промышленной безопасности «Правила проведения экспертизы промышленной безопасности».</w:t>
            </w:r>
          </w:p>
        </w:tc>
        <w:tc>
          <w:tcPr>
            <w:tcW w:w="311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оказывает услуги по заявкам Заказчика в порядке, установленном в п. 3.1. Проекта Договора;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Учет отходов производится в тоннах, по данным весового контроля Заказчика;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осуществляет погрузку и транспортирование отходов V класса опасности своими силами, специальными ТС, предназначенными для этих целей;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Расходы на запасные части и материалы для содержания ТС в исправном состоянии несет исполнитель;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Затраты по заправке техники необходимым количеством топлива несет исполнитель;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технике, задействованной для транспортировки отходов: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 должны быть в технически исправном состоянии, соответствовать требованиям ТР ТС 018/2011 Технический регламент Таможенного союза о безопасности колесных транспортных средств»;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 не должны иметь недостатков и неисправностей, при наличии которых их эксплуатация запрещена;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 не должны быть заложены или арестованы, не должны являться предметом исков третьих лиц;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Управление ТС должно осуществляться в соответствии с требованиями ПДД РФ, с учетом интенсивности движения, особенности и состояния ТС, а также метеоусловий.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Кузов ТС должен быть оборудован тентом, ТС должно иметь знаки, обозначающие класс перевозимых отходов.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, предоставляемыеЗаказчику, должны быть оборудованы системами передачи данных и/или автоматизированной системой мониторинга (АСМ), обеспечивающими сбор и обработку в электронном виде данных с ТС с предоставлением доступа Заказчику к этим данным с целью контроля перемещения.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Минимальный возраст работника</w:t>
            </w:r>
          </w:p>
        </w:tc>
        <w:tc>
          <w:tcPr>
            <w:tcW w:w="81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21 года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Водительский стаж</w:t>
            </w:r>
          </w:p>
        </w:tc>
        <w:tc>
          <w:tcPr>
            <w:tcW w:w="81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3 лет, отсутствие медицинских противопоказаний к управлению ТС данной категории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Ежедневное прохождение медицинского осмотра</w:t>
            </w:r>
          </w:p>
        </w:tc>
        <w:tc>
          <w:tcPr>
            <w:tcW w:w="81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Прохождение водительским составом ежедневного предрейсового и послерейсового медицинского осмотра перед выездом, с обязательной отметкой в путевых листах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Наличие опыта, необходимых категорий и квалификацией</w:t>
            </w:r>
          </w:p>
        </w:tc>
        <w:tc>
          <w:tcPr>
            <w:tcW w:w="81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Работники должны иметь категорию, квалификацию, опыт и иные профессиональные характеристики, соответствующие требованиям положений и инструкций по обеспечению безопасности дорожного движения, действующим на автомобильном транспорте, а также в соответствии с Приказом Ростехнадзора от 26.11.2020 N 461 (в действующей редакции).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Работники должны соблюдать правила действующего внутреннего распорядка, контрольно-пропускной режим на объекте, правила охраны труда и техники безопасности, пожарной безопасности, требований по охране окружающей среды.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Персонал, допущенный к обращению с отходами (транспортированию), имеет свидетельства (сертификаты) на право работы с отходами 1-4 классов опасности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в течение 1 (одного) рабочего дня от даты заключения договора назначить ответственное контактное лицо, определить номер телефона, адрес электронной почты для приема данных (заявок, запросов, писем) и уведомить об этом Заказчика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оформления пропусков на объект Заказчика Исполнитель не позднее, чем за 2 (два) рабочих дня до начала оказания услуг предоставляет Заказчику список персонала, который будет задействован в оказании услуг, с указанием фамилии, имени, отчества (при наличии), паспортных данных, водительское удостоверение и (или) удостоверение машиниста-тракториста, а также предоставляет список автотранспорта с указанием его марки и государственного регистрационного номера.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Выполнение транспортировки отходов в срок по заявкам в соответствии с условиями договора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Спецтехника должна быть в технически исправном состоянии, соответствующем требованиям: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 Постановление Правительства РФ от 23.10.1993 № 1090 «О Правилах дорожного движения» (вместе с «Основными положениями по допуску транспортных средств к эксплуатации и обязанности должностных лиц по обеспечению безопасности дорожного движения») (в действующей редакции).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Технический регламент Таможенного союза ТР ТС 010/2011 «О безопасности машин и оборудования», утвержденный Решением Комиссии Таможенного союза от 18.10.2011 № 823 (в действующей редакции).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сдачи приемки оказанных услуг</w:t>
            </w:r>
          </w:p>
        </w:tc>
        <w:tc>
          <w:tcPr>
            <w:tcW w:w="81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сдачи-приемки оказанных услуг в двух экземплярах.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 на оплату</w:t>
            </w:r>
          </w:p>
        </w:tc>
        <w:tc>
          <w:tcPr>
            <w:tcW w:w="81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счет на оплату после оказания услуги.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Счет-фактура (если контрагент является плательщиком НДС)</w:t>
            </w:r>
          </w:p>
        </w:tc>
        <w:tc>
          <w:tcPr>
            <w:tcW w:w="81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счет-фактуру (если Исполнитель является плательщиком НДС)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Копии товарно-транспортных накладных и путевых листов</w:t>
            </w:r>
          </w:p>
        </w:tc>
        <w:tc>
          <w:tcPr>
            <w:tcW w:w="81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копии путевых листов с приложением товарно-транспортных накладных со всеми отметками для подтверждения фактического количества перевезенного грунта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37" w:hRule="atLeast"/>
        </w:trPr>
        <w:tc>
          <w:tcPr>
            <w:tcW w:w="99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ТС должны быть укомплектованы в соответствии с требованиями Регламента от 09.12.2011 N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(огнетушителями, аварийными знаками, аптечками с медикаментами, пр.), прошедшими ежегодный государственный технический осмотр, застрахованными (ОСАГО) в соответствии с действующим Законодательством, обеспечены путевой документацией, установленных форм, оформленной в соответствии с требованиями Приказа Минтранса России от 28.09.2022 N 390 "Об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или формирования путевого листа".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ТС должны находиться в исправном состоянии, отвечать требованиям, предъявляемым к эксплуатируемым транспортным средствам, в соответствии с ГОСТ 33997-2016 «Межгосударственный стандарт. Колесные транспортные средства. Требования к безопасности в эксплуатации и методы проверки», используемым для производственных, коммерческих целей в соответствии с их конструктивным назначением, пригодными, для перевозки грузов и отвечающие санитарным требованиям, а также отвечать требованиям Регламента от 09.12.2011 N 877 «О принятии технического регламента Таможенного союза «О безопасности колесных транспортных средств» (вместе с «ТР ТС 018/2011. Технический регламент Таможенного союза. О безопасности колесных транспортных средств»), Правилам дорожного движения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предоставлять информации о гос. номерах ТС и документов водителей для оформления пропусков для въезда на территорию Нерюнгринской ГРЭС.</w:t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numPr>
          <w:ilvl w:val="0"/>
          <w:numId w:val="3"/>
        </w:numPr>
        <w:ind w:left="0" w:hanging="0"/>
        <w:jc w:val="center"/>
        <w:rPr>
          <w:b/>
        </w:rPr>
      </w:pPr>
      <w:bookmarkStart w:id="39" w:name="__RefHeading___Toc10473_1506096587"/>
      <w:bookmarkStart w:id="40" w:name="_Toc150444156"/>
      <w:bookmarkStart w:id="41" w:name="_Toc53395937"/>
      <w:bookmarkStart w:id="42" w:name="_Toc53393312"/>
      <w:bookmarkStart w:id="43" w:name="_Toc46743519"/>
      <w:bookmarkStart w:id="44" w:name="_Toc51339699"/>
      <w:bookmarkEnd w:id="39"/>
      <w:bookmarkEnd w:id="43"/>
      <w:bookmarkEnd w:id="44"/>
      <w:r>
        <w:rPr>
          <w:b/>
        </w:rPr>
        <w:t>Требования к документации по ценообразованию</w:t>
      </w:r>
      <w:bookmarkEnd w:id="41"/>
      <w:bookmarkEnd w:id="42"/>
      <w:r>
        <w:rPr>
          <w:b/>
        </w:rPr>
        <w:t xml:space="preserve"> на этапе закупки</w:t>
      </w:r>
      <w:bookmarkEnd w:id="40"/>
    </w:p>
    <w:p>
      <w:pPr>
        <w:pStyle w:val="Normal"/>
        <w:ind w:firstLine="567"/>
        <w:jc w:val="both"/>
        <w:rPr>
          <w:sz w:val="24"/>
          <w:szCs w:val="24"/>
        </w:rPr>
      </w:pPr>
      <w:bookmarkStart w:id="45" w:name="__RefHeading___Toc10475_1506096587"/>
      <w:bookmarkStart w:id="46" w:name="_Toc150444157"/>
      <w:bookmarkStart w:id="47" w:name="_Toc130396897"/>
      <w:bookmarkStart w:id="48" w:name="_Toc133340001"/>
      <w:bookmarkEnd w:id="45"/>
      <w:bookmarkEnd w:id="46"/>
      <w:bookmarkEnd w:id="47"/>
      <w:bookmarkEnd w:id="48"/>
      <w:r>
        <w:rPr>
          <w:sz w:val="24"/>
          <w:szCs w:val="24"/>
        </w:rPr>
        <w:t xml:space="preserve">3.1 В обоснование стоимости своей заявки Участник предоставляет Коммерческое предложение по форме, приведённой в приложении №2 </w:t>
      </w:r>
      <w:r>
        <w:rPr>
          <w:iCs/>
          <w:sz w:val="24"/>
          <w:szCs w:val="24"/>
        </w:rPr>
        <w:t>к настоящим ТТ.</w:t>
      </w:r>
      <w:r>
        <w:rPr>
          <w:sz w:val="24"/>
          <w:szCs w:val="24"/>
        </w:rPr>
        <w:t xml:space="preserve"> 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 Понижающий коэффициент служит только для оценки и сопоставления предложений Участников. Предложения по единичным расценкам, представленные в заявке победителя, будут закреплены в договоре.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3.3.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договора.</w:t>
      </w:r>
    </w:p>
    <w:p>
      <w:pPr>
        <w:pStyle w:val="Normal"/>
        <w:tabs>
          <w:tab w:val="clear" w:pos="708"/>
          <w:tab w:val="left" w:pos="993" w:leader="none"/>
        </w:tabs>
        <w:ind w:left="568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993" w:leader="none"/>
        </w:tabs>
        <w:ind w:left="568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993" w:leader="none"/>
        </w:tabs>
        <w:ind w:left="568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993" w:leader="none"/>
        </w:tabs>
        <w:ind w:left="568" w:hanging="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0" w:firstLine="709"/>
        <w:jc w:val="center"/>
        <w:rPr>
          <w:b/>
        </w:rPr>
      </w:pPr>
      <w:bookmarkStart w:id="49" w:name="_Toc150444158"/>
      <w:bookmarkStart w:id="50" w:name="_Toc54281228"/>
      <w:r>
        <w:rPr>
          <w:b/>
        </w:rPr>
        <w:t>Требования к документации по ценообразованию на этапе заключения (исполнения) договора</w:t>
      </w:r>
      <w:bookmarkEnd w:id="49"/>
      <w:bookmarkEnd w:id="50"/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uppressAutoHyphens w:val="false"/>
        <w:spacing w:before="120" w:after="60"/>
        <w:ind w:left="357" w:firstLine="709"/>
        <w:outlineLvl w:val="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4.1. По результатам настоящей закупки заключается договор с предельной ценой, равной начальной (максимальной) цене договора, а также с единичными расценками (ценой за единицу продукции), предложенными в заявке Победителем.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uppressAutoHyphens w:val="false"/>
        <w:spacing w:before="120" w:after="60"/>
        <w:ind w:left="357" w:firstLine="709"/>
        <w:outlineLvl w:val="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4.2. Порядок формирования на этапе исполнения договора стоимости выполняемых услуг по заявке заказчика установлен в Проекте договора.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uppressAutoHyphens w:val="false"/>
        <w:spacing w:before="120" w:after="60"/>
        <w:ind w:left="357" w:firstLine="709"/>
        <w:outlineLvl w:val="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uppressAutoHyphens w:val="false"/>
        <w:spacing w:before="120" w:after="60"/>
        <w:ind w:left="357" w:firstLine="709"/>
        <w:jc w:val="center"/>
        <w:outlineLvl w:val="0"/>
        <w:rPr>
          <w:rFonts w:eastAsia="Calibri"/>
          <w:b/>
          <w:lang w:eastAsia="x-none"/>
        </w:rPr>
      </w:pPr>
      <w:r>
        <w:rPr>
          <w:rFonts w:eastAsia="Calibri"/>
          <w:b/>
          <w:lang w:eastAsia="x-none"/>
        </w:rPr>
        <w:t>5.</w:t>
        <w:tab/>
        <w:t>Приложения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uppressAutoHyphens w:val="false"/>
        <w:spacing w:before="120" w:after="60"/>
        <w:ind w:left="357" w:firstLine="709"/>
        <w:outlineLvl w:val="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Приложение №1 — Маршрут движения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uppressAutoHyphens w:val="false"/>
        <w:spacing w:before="120" w:after="60"/>
        <w:ind w:left="357" w:firstLine="709"/>
        <w:outlineLvl w:val="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Приложение №2 — Коммерческое предложение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uppressAutoHyphens w:val="false"/>
        <w:spacing w:before="120" w:after="60"/>
        <w:ind w:left="357" w:firstLine="709"/>
        <w:outlineLvl w:val="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993" w:leader="none"/>
        </w:tabs>
        <w:ind w:left="568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993" w:leader="none"/>
        </w:tabs>
        <w:ind w:left="568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tabs>
          <w:tab w:val="clear" w:pos="708"/>
          <w:tab w:val="left" w:pos="993" w:leader="none"/>
        </w:tabs>
        <w:ind w:left="568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993" w:leader="none"/>
        </w:tabs>
        <w:ind w:left="568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993" w:leader="none"/>
        </w:tabs>
        <w:ind w:left="568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993" w:leader="none"/>
        </w:tabs>
        <w:ind w:left="568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993" w:leader="none"/>
        </w:tabs>
        <w:ind w:left="568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jc w:val="right"/>
        <w:rPr>
          <w:sz w:val="22"/>
          <w:szCs w:val="22"/>
        </w:rPr>
      </w:pPr>
      <w:r>
        <w:rPr>
          <w:iCs/>
          <w:sz w:val="22"/>
          <w:szCs w:val="22"/>
        </w:rPr>
        <w:t xml:space="preserve">Приложение № 1 </w:t>
      </w:r>
    </w:p>
    <w:p>
      <w:pPr>
        <w:pStyle w:val="Normal"/>
        <w:jc w:val="right"/>
        <w:rPr>
          <w:sz w:val="22"/>
          <w:szCs w:val="22"/>
        </w:rPr>
      </w:pPr>
      <w:r>
        <w:rPr>
          <w:iCs/>
          <w:sz w:val="22"/>
          <w:szCs w:val="22"/>
        </w:rPr>
        <w:t>к техническим требованиями</w:t>
      </w:r>
    </w:p>
    <w:p>
      <w:pPr>
        <w:pStyle w:val="Normal"/>
        <w:jc w:val="right"/>
        <w:rPr/>
      </w:pPr>
      <w:r>
        <w:rPr/>
      </w:r>
    </w:p>
    <w:p>
      <w:pPr>
        <w:pStyle w:val="Normal"/>
        <w:rPr>
          <w:iCs/>
          <w:sz w:val="26"/>
          <w:szCs w:val="26"/>
          <w:shd w:fill="FFFF99" w:val="clear"/>
        </w:rPr>
      </w:pPr>
      <w:r>
        <w:rPr>
          <w:iCs/>
          <w:sz w:val="26"/>
          <w:szCs w:val="26"/>
          <w:shd w:fill="FFFF99" w:val="clear"/>
        </w:rPr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Маршрут движения: Нерюнгринская ГРЭС – Полигон твердых бытовых отходов, расположенный по адресу: Республика Саха (Якутия), Нерюнгринский район, в районе карьера «Гранитный», в 3.1 км на северо-восток от ж/д эстакады через магистраль «Лена».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iCs/>
          <w:sz w:val="24"/>
          <w:szCs w:val="24"/>
        </w:rPr>
        <w:t>Общая протяженность от объекта строительства до полигона ТБО составляет 5 км.</w:t>
      </w:r>
    </w:p>
    <w:p>
      <w:pPr>
        <w:pStyle w:val="Normal"/>
        <w:rPr>
          <w:sz w:val="24"/>
          <w:szCs w:val="24"/>
        </w:rPr>
      </w:pPr>
      <w:r>
        <w:rPr/>
        <w:drawing>
          <wp:inline distT="0" distB="0" distL="0" distR="0">
            <wp:extent cx="6134100" cy="3200400"/>
            <wp:effectExtent l="0" t="0" r="0" b="0"/>
            <wp:docPr id="3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jc w:val="right"/>
        <w:rPr>
          <w:sz w:val="22"/>
          <w:szCs w:val="22"/>
        </w:rPr>
      </w:pPr>
      <w:r>
        <w:rPr>
          <w:iCs/>
          <w:sz w:val="22"/>
          <w:szCs w:val="22"/>
        </w:rPr>
        <w:t xml:space="preserve">Приложение № </w:t>
      </w:r>
      <w:r>
        <w:rPr>
          <w:iCs/>
          <w:sz w:val="22"/>
          <w:szCs w:val="22"/>
        </w:rPr>
        <w:t>2</w:t>
      </w:r>
    </w:p>
    <w:p>
      <w:pPr>
        <w:pStyle w:val="Normal"/>
        <w:jc w:val="right"/>
        <w:rPr>
          <w:sz w:val="22"/>
          <w:szCs w:val="22"/>
        </w:rPr>
      </w:pPr>
      <w:r>
        <w:rPr>
          <w:iCs/>
          <w:sz w:val="22"/>
          <w:szCs w:val="22"/>
        </w:rPr>
        <w:t>к техническим требованиями</w:t>
      </w:r>
    </w:p>
    <w:p>
      <w:pPr>
        <w:pStyle w:val="Normal"/>
        <w:jc w:val="right"/>
        <w:rPr>
          <w:sz w:val="22"/>
          <w:szCs w:val="22"/>
        </w:rPr>
      </w:pPr>
      <w:r>
        <w:rPr/>
      </w:r>
    </w:p>
    <w:p>
      <w:pPr>
        <w:pStyle w:val="Normal"/>
        <w:jc w:val="right"/>
        <w:rPr>
          <w:sz w:val="22"/>
          <w:szCs w:val="22"/>
        </w:rPr>
      </w:pPr>
      <w:r>
        <w:rPr/>
      </w:r>
    </w:p>
    <w:p>
      <w:pPr>
        <w:pStyle w:val="Normal"/>
        <w:jc w:val="right"/>
        <w:rPr>
          <w:sz w:val="22"/>
          <w:szCs w:val="22"/>
        </w:rPr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uppressAutoHyphens w:val="false"/>
        <w:spacing w:before="120" w:after="60"/>
        <w:ind w:left="357" w:firstLine="709"/>
        <w:outlineLvl w:val="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Форма к</w:t>
      </w:r>
      <w:r>
        <w:rPr>
          <w:rFonts w:eastAsia="Calibri"/>
          <w:sz w:val="24"/>
          <w:szCs w:val="24"/>
          <w:lang w:eastAsia="x-none"/>
        </w:rPr>
        <w:t>оммерческо</w:t>
      </w:r>
      <w:r>
        <w:rPr>
          <w:rFonts w:eastAsia="Calibri"/>
          <w:sz w:val="24"/>
          <w:szCs w:val="24"/>
          <w:lang w:eastAsia="x-none"/>
        </w:rPr>
        <w:t>го</w:t>
      </w:r>
      <w:r>
        <w:rPr>
          <w:rFonts w:eastAsia="Calibri"/>
          <w:sz w:val="24"/>
          <w:szCs w:val="24"/>
          <w:lang w:eastAsia="x-none"/>
        </w:rPr>
        <w:t xml:space="preserve"> предложени</w:t>
      </w:r>
      <w:r>
        <w:rPr>
          <w:rFonts w:eastAsia="Calibri"/>
          <w:sz w:val="24"/>
          <w:szCs w:val="24"/>
          <w:lang w:eastAsia="x-none"/>
        </w:rPr>
        <w:t>я приложена отдельным файлом в формате Excel.</w:t>
      </w:r>
      <w:r>
        <w:rPr>
          <w:rFonts w:eastAsia="Calibri"/>
          <w:sz w:val="24"/>
          <w:szCs w:val="24"/>
          <w:lang w:eastAsia="x-none"/>
        </w:rPr>
        <w:t xml:space="preserve"> </w:t>
      </w:r>
    </w:p>
    <w:sectPr>
      <w:headerReference w:type="default" r:id="rId8"/>
      <w:headerReference w:type="first" r:id="rId9"/>
      <w:type w:val="nextPage"/>
      <w:pgSz w:w="11906" w:h="16838"/>
      <w:pgMar w:left="1276" w:right="851" w:gutter="0" w:header="680" w:top="737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76C70C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76C70C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"/>
        </w:tabs>
        <w:ind w:left="858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e2e7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00c70"/>
    <w:pPr>
      <w:keepNext w:val="true"/>
      <w:tabs>
        <w:tab w:val="clear" w:pos="708"/>
        <w:tab w:val="left" w:pos="0" w:leader="none"/>
      </w:tabs>
      <w:spacing w:before="120" w:after="60"/>
      <w:ind w:firstLine="709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ind w:left="1141" w:hanging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9a3ad7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00c70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13" w:customStyle="1">
    <w:name w:val="Номер строки1"/>
    <w:qFormat/>
    <w:rPr/>
  </w:style>
  <w:style w:type="character" w:styleId="Linenumber1" w:customStyle="1">
    <w:name w:val="line number1"/>
    <w:qFormat/>
    <w:rPr/>
  </w:style>
  <w:style w:type="character" w:styleId="Linenumber">
    <w:name w:val="line number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" w:customStyle="1">
    <w:name w:val="index heading1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c55f3"/>
    <w:pPr>
      <w:tabs>
        <w:tab w:val="clear" w:pos="708"/>
        <w:tab w:val="left" w:pos="560" w:leader="none"/>
        <w:tab w:val="right" w:pos="10194" w:leader="dot"/>
      </w:tabs>
      <w:spacing w:before="120" w:after="0"/>
      <w:jc w:val="both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8f0d34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Default" w:customStyle="1">
    <w:name w:val="Default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image" Target="media/image1.png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FD8B5-BB5D-4432-85E3-F408E2590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Application>AlterOffice/3.4.0.9$Linux_X86_64 LibreOffice_project/b8daf9e823b1a5463a2f48435ddc2e8696e7d4fc</Application>
  <AppVersion>15.0000</AppVersion>
  <Pages>12</Pages>
  <Words>1975</Words>
  <Characters>13592</Characters>
  <CharactersWithSpaces>17073</CharactersWithSpaces>
  <Paragraphs>243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2025-08-15T07:13:00Z</dcterms:created>
  <dc:creator>Быстров Олег Геннадьевич</dc:creator>
  <dc:description/>
  <dc:language>ru-RU</dc:language>
  <cp:lastModifiedBy>larionovadv@corp.gidroogk.com</cp:lastModifiedBy>
  <cp:lastPrinted>2025-11-20T04:31:00Z</cp:lastPrinted>
  <dcterms:modified xsi:type="dcterms:W3CDTF">2025-12-03T14:48:23Z</dcterms:modified>
  <cp:revision>27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