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b/>
        </w:rPr>
      </w:pPr>
      <w:r>
        <w:rPr>
          <w:rFonts w:eastAsia="Calibri"/>
          <w:b/>
        </w:rPr>
        <w:t xml:space="preserve">ОКПД2 </w:t>
      </w:r>
      <w:r>
        <w:rPr>
          <w:rFonts w:eastAsia="Calibri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26.30.11.190.</w:t>
      </w:r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b/>
        </w:rPr>
        <w:t>Поставка сервера точного времени для пополнения аварийного запаса для филиала ПАО "РусГидро" - "Зейская ГЭС"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560"/>
              <w:tab w:val="clear" w:pos="9911"/>
              <w:tab w:val="right" w:pos="9355" w:leader="dot"/>
            </w:tabs>
            <w:rPr/>
          </w:pPr>
          <w:r>
            <w:fldChar w:fldCharType="begin"/>
          </w:r>
          <w:r>
            <w:rPr>
              <w:webHidden/>
              <w:rStyle w:val="Style11"/>
              <w:vanish w:val="false"/>
            </w:rPr>
            <w:instrText xml:space="preserve"> TOC \z \o "1-4" \u \h</w:instrText>
          </w:r>
          <w:r>
            <w:rPr>
              <w:webHidden/>
              <w:rStyle w:val="Style11"/>
              <w:vanish w:val="false"/>
            </w:rPr>
            <w:fldChar w:fldCharType="separate"/>
          </w:r>
          <w:hyperlink w:anchor="__RefHeading___Toc5485_1206383367">
            <w:r>
              <w:rPr>
                <w:webHidden/>
                <w:rStyle w:val="Style11"/>
                <w:vanish w:val="false"/>
              </w:rPr>
              <w:t>1. Общие сведения</w:t>
              <w:tab/>
              <w:t>2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355" w:leader="dot"/>
            </w:tabs>
            <w:rPr/>
          </w:pPr>
          <w:hyperlink w:anchor="__RefHeading___Toc5487_1206383367">
            <w:r>
              <w:rPr>
                <w:webHidden/>
                <w:rStyle w:val="Style11"/>
                <w:vanish w:val="false"/>
              </w:rPr>
              <w:t>1.1. Обозначения и сокращения</w:t>
              <w:tab/>
              <w:t>2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355" w:leader="dot"/>
            </w:tabs>
            <w:rPr/>
          </w:pPr>
          <w:hyperlink w:anchor="__RefHeading___Toc5489_1206383367">
            <w:r>
              <w:rPr>
                <w:webHidden/>
                <w:rStyle w:val="Style11"/>
                <w:vanish w:val="false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355" w:leader="dot"/>
            </w:tabs>
            <w:rPr/>
          </w:pPr>
          <w:hyperlink w:anchor="__RefHeading___Toc5491_1206383367">
            <w:r>
              <w:rPr>
                <w:webHidden/>
                <w:rStyle w:val="Style11"/>
                <w:vanish w:val="false"/>
              </w:rPr>
              <w:t>1.3. Цель использования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355" w:leader="dot"/>
            </w:tabs>
            <w:rPr/>
          </w:pPr>
          <w:hyperlink w:anchor="__RefHeading___Toc5493_1206383367">
            <w:r>
              <w:rPr>
                <w:webHidden/>
                <w:rStyle w:val="Style11"/>
                <w:vanish w:val="false"/>
              </w:rPr>
              <w:t>1.4. Существующее положение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355" w:leader="dot"/>
            </w:tabs>
            <w:rPr/>
          </w:pPr>
          <w:hyperlink w:anchor="__RefHeading___Toc5495_1206383367">
            <w:r>
              <w:rPr>
                <w:webHidden/>
                <w:rStyle w:val="Style11"/>
                <w:vanish w:val="false"/>
              </w:rPr>
              <w:t>1.5. Иные требования и сведения общего характера</w:t>
              <w:tab/>
              <w:t>4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355" w:leader="dot"/>
            </w:tabs>
            <w:rPr/>
          </w:pPr>
          <w:hyperlink w:anchor="__RefHeading___Toc5497_1206383367">
            <w:r>
              <w:rPr>
                <w:webHidden/>
                <w:rStyle w:val="Style11"/>
                <w:vanish w:val="false"/>
              </w:rPr>
              <w:t>2. Требования к продукции</w:t>
              <w:tab/>
              <w:t>4</w:t>
            </w:r>
          </w:hyperlink>
          <w:r>
            <w:rPr>
              <w:rStyle w:val="Style11"/>
              <w:vanish w:val="false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bookmarkStart w:id="0" w:name="__RefHeading___Toc5485_1206383367"/>
      <w:bookmarkEnd w:id="0"/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bookmarkStart w:id="1" w:name="__RefHeading___Toc5487_1206383367"/>
      <w:bookmarkEnd w:id="1"/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tbl>
      <w:tblPr>
        <w:tblW w:w="9627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780"/>
        <w:gridCol w:w="7846"/>
      </w:tblGrid>
      <w:tr>
        <w:trPr>
          <w:trHeight w:val="256" w:hRule="atLeast"/>
        </w:trPr>
        <w:tc>
          <w:tcPr>
            <w:tcW w:w="17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227" w:leader="none"/>
              </w:tabs>
              <w:jc w:val="left"/>
              <w:rPr/>
            </w:pPr>
            <w:r>
              <w:rPr/>
              <w:t>ГЛОНАСС</w:t>
            </w:r>
          </w:p>
        </w:tc>
        <w:tc>
          <w:tcPr>
            <w:tcW w:w="7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Глобальная навигационная спутниковая система</w:t>
            </w:r>
          </w:p>
        </w:tc>
      </w:tr>
      <w:tr>
        <w:trPr>
          <w:trHeight w:val="256" w:hRule="atLeast"/>
        </w:trPr>
        <w:tc>
          <w:tcPr>
            <w:tcW w:w="17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227" w:leader="none"/>
              </w:tabs>
              <w:jc w:val="left"/>
              <w:rPr/>
            </w:pPr>
            <w:r>
              <w:rPr/>
              <w:t>ГОСТ</w:t>
            </w:r>
          </w:p>
        </w:tc>
        <w:tc>
          <w:tcPr>
            <w:tcW w:w="7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Государственный стандарт</w:t>
            </w:r>
          </w:p>
        </w:tc>
      </w:tr>
      <w:tr>
        <w:trPr>
          <w:trHeight w:val="256" w:hRule="atLeast"/>
        </w:trPr>
        <w:tc>
          <w:tcPr>
            <w:tcW w:w="17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227" w:leader="none"/>
              </w:tabs>
              <w:jc w:val="left"/>
              <w:rPr/>
            </w:pPr>
            <w:r>
              <w:rPr/>
              <w:t>МЭК (IEC)</w:t>
            </w:r>
          </w:p>
        </w:tc>
        <w:tc>
          <w:tcPr>
            <w:tcW w:w="7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Международная электротехническая комиссия (МЭК; англ. International Electrotechnical Commission)</w:t>
            </w:r>
          </w:p>
        </w:tc>
      </w:tr>
      <w:tr>
        <w:trPr>
          <w:trHeight w:val="256" w:hRule="atLeast"/>
        </w:trPr>
        <w:tc>
          <w:tcPr>
            <w:tcW w:w="17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227" w:leader="none"/>
              </w:tabs>
              <w:jc w:val="left"/>
              <w:rPr/>
            </w:pPr>
            <w:r>
              <w:rPr/>
              <w:t>НТД</w:t>
            </w:r>
          </w:p>
        </w:tc>
        <w:tc>
          <w:tcPr>
            <w:tcW w:w="7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Нормативно-техническая документация</w:t>
            </w:r>
          </w:p>
        </w:tc>
      </w:tr>
      <w:tr>
        <w:trPr>
          <w:trHeight w:val="256" w:hRule="atLeast"/>
        </w:trPr>
        <w:tc>
          <w:tcPr>
            <w:tcW w:w="17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227" w:leader="none"/>
              </w:tabs>
              <w:jc w:val="left"/>
              <w:rPr/>
            </w:pPr>
            <w:r>
              <w:rPr/>
              <w:t>СИ</w:t>
            </w:r>
          </w:p>
        </w:tc>
        <w:tc>
          <w:tcPr>
            <w:tcW w:w="7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Средства измерений</w:t>
            </w:r>
          </w:p>
        </w:tc>
      </w:tr>
      <w:tr>
        <w:trPr>
          <w:trHeight w:val="256" w:hRule="atLeast"/>
        </w:trPr>
        <w:tc>
          <w:tcPr>
            <w:tcW w:w="17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227" w:leader="none"/>
              </w:tabs>
              <w:jc w:val="left"/>
              <w:rPr/>
            </w:pPr>
            <w:r>
              <w:rPr/>
              <w:t>СОЕВ</w:t>
            </w:r>
          </w:p>
        </w:tc>
        <w:tc>
          <w:tcPr>
            <w:tcW w:w="7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Система обеспечения единого времени</w:t>
            </w:r>
          </w:p>
        </w:tc>
      </w:tr>
      <w:tr>
        <w:trPr>
          <w:trHeight w:val="256" w:hRule="atLeast"/>
        </w:trPr>
        <w:tc>
          <w:tcPr>
            <w:tcW w:w="17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227" w:leader="none"/>
              </w:tabs>
              <w:jc w:val="left"/>
              <w:rPr/>
            </w:pPr>
            <w:r>
              <w:rPr/>
              <w:t>ТУ</w:t>
            </w:r>
          </w:p>
        </w:tc>
        <w:tc>
          <w:tcPr>
            <w:tcW w:w="7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Технические условия</w:t>
            </w:r>
          </w:p>
        </w:tc>
      </w:tr>
      <w:tr>
        <w:trPr>
          <w:trHeight w:val="256" w:hRule="atLeast"/>
        </w:trPr>
        <w:tc>
          <w:tcPr>
            <w:tcW w:w="17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227" w:leader="none"/>
              </w:tabs>
              <w:jc w:val="left"/>
              <w:rPr/>
            </w:pPr>
            <w:r>
              <w:rPr/>
              <w:t>Филиал</w:t>
            </w:r>
          </w:p>
        </w:tc>
        <w:tc>
          <w:tcPr>
            <w:tcW w:w="7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филиал ПАО «РусГидро» - «Зейская ГЭС»</w:t>
            </w:r>
          </w:p>
        </w:tc>
      </w:tr>
      <w:tr>
        <w:trPr>
          <w:trHeight w:val="256" w:hRule="atLeast"/>
        </w:trPr>
        <w:tc>
          <w:tcPr>
            <w:tcW w:w="17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227" w:leader="none"/>
              </w:tabs>
              <w:jc w:val="left"/>
              <w:rPr/>
            </w:pPr>
            <w:r>
              <w:rPr/>
              <w:t>ЭМС</w:t>
            </w:r>
          </w:p>
        </w:tc>
        <w:tc>
          <w:tcPr>
            <w:tcW w:w="7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Электромагнитная совместимость</w:t>
            </w:r>
          </w:p>
        </w:tc>
      </w:tr>
      <w:tr>
        <w:trPr>
          <w:trHeight w:val="256" w:hRule="atLeast"/>
        </w:trPr>
        <w:tc>
          <w:tcPr>
            <w:tcW w:w="17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227" w:leader="none"/>
              </w:tabs>
              <w:jc w:val="left"/>
              <w:rPr/>
            </w:pPr>
            <w:r>
              <w:rPr/>
              <w:t>GPS</w:t>
            </w:r>
          </w:p>
        </w:tc>
        <w:tc>
          <w:tcPr>
            <w:tcW w:w="7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Global Positioning System — Система глобального позиционирования</w:t>
            </w:r>
          </w:p>
        </w:tc>
      </w:tr>
      <w:tr>
        <w:trPr>
          <w:trHeight w:val="256" w:hRule="atLeast"/>
        </w:trPr>
        <w:tc>
          <w:tcPr>
            <w:tcW w:w="17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227" w:leader="none"/>
              </w:tabs>
              <w:jc w:val="left"/>
              <w:rPr/>
            </w:pPr>
            <w:r>
              <w:rPr/>
              <w:t>IEEE</w:t>
            </w:r>
          </w:p>
        </w:tc>
        <w:tc>
          <w:tcPr>
            <w:tcW w:w="7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Institute of Electrical and Electronics Engineers - Институт инженеров электротехники и электроники</w:t>
            </w:r>
          </w:p>
        </w:tc>
      </w:tr>
      <w:tr>
        <w:trPr>
          <w:trHeight w:val="256" w:hRule="atLeast"/>
        </w:trPr>
        <w:tc>
          <w:tcPr>
            <w:tcW w:w="17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227" w:leader="none"/>
              </w:tabs>
              <w:jc w:val="left"/>
              <w:rPr/>
            </w:pPr>
            <w:r>
              <w:rPr/>
              <w:t>MSK-64</w:t>
            </w:r>
          </w:p>
        </w:tc>
        <w:tc>
          <w:tcPr>
            <w:tcW w:w="7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12-балльная шкала интенсивности землетрясений Медведева — Шпонхойера — Карника</w:t>
            </w:r>
          </w:p>
        </w:tc>
      </w:tr>
      <w:tr>
        <w:trPr>
          <w:trHeight w:val="256" w:hRule="atLeast"/>
        </w:trPr>
        <w:tc>
          <w:tcPr>
            <w:tcW w:w="17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227" w:leader="none"/>
              </w:tabs>
              <w:jc w:val="left"/>
              <w:rPr/>
            </w:pPr>
            <w:r>
              <w:rPr/>
              <w:t>NMEA</w:t>
            </w:r>
          </w:p>
        </w:tc>
        <w:tc>
          <w:tcPr>
            <w:tcW w:w="7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National Marine Electronics Association</w:t>
            </w:r>
          </w:p>
        </w:tc>
      </w:tr>
      <w:tr>
        <w:trPr>
          <w:trHeight w:val="256" w:hRule="atLeast"/>
        </w:trPr>
        <w:tc>
          <w:tcPr>
            <w:tcW w:w="17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227" w:leader="none"/>
              </w:tabs>
              <w:jc w:val="left"/>
              <w:rPr/>
            </w:pPr>
            <w:r>
              <w:rPr/>
              <w:t>NTP</w:t>
            </w:r>
          </w:p>
        </w:tc>
        <w:tc>
          <w:tcPr>
            <w:tcW w:w="7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Network Time Protocol — протокол сетевого времени</w:t>
            </w:r>
          </w:p>
        </w:tc>
      </w:tr>
      <w:tr>
        <w:trPr>
          <w:trHeight w:val="256" w:hRule="atLeast"/>
        </w:trPr>
        <w:tc>
          <w:tcPr>
            <w:tcW w:w="17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227" w:leader="none"/>
              </w:tabs>
              <w:jc w:val="left"/>
              <w:rPr/>
            </w:pPr>
            <w:r>
              <w:rPr/>
              <w:t>PRP</w:t>
            </w:r>
          </w:p>
        </w:tc>
        <w:tc>
          <w:tcPr>
            <w:tcW w:w="7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Parallel Redundancy Protocol — протокол параллельного резервирования.</w:t>
            </w:r>
          </w:p>
        </w:tc>
      </w:tr>
      <w:tr>
        <w:trPr>
          <w:trHeight w:val="256" w:hRule="atLeast"/>
        </w:trPr>
        <w:tc>
          <w:tcPr>
            <w:tcW w:w="17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227" w:leader="none"/>
              </w:tabs>
              <w:jc w:val="left"/>
              <w:rPr/>
            </w:pPr>
            <w:r>
              <w:rPr/>
              <w:t>PTP</w:t>
            </w:r>
          </w:p>
        </w:tc>
        <w:tc>
          <w:tcPr>
            <w:tcW w:w="7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Precision Time Protocol — протокол точного времени</w:t>
            </w:r>
          </w:p>
        </w:tc>
      </w:tr>
      <w:tr>
        <w:trPr>
          <w:trHeight w:val="256" w:hRule="atLeast"/>
        </w:trPr>
        <w:tc>
          <w:tcPr>
            <w:tcW w:w="17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227" w:leader="none"/>
              </w:tabs>
              <w:jc w:val="left"/>
              <w:rPr/>
            </w:pPr>
            <w:r>
              <w:rPr/>
              <w:t>SNTP</w:t>
            </w:r>
          </w:p>
        </w:tc>
        <w:tc>
          <w:tcPr>
            <w:tcW w:w="7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Simple Network Time Protocol — протокол синхронизации времени по компьютерной сети</w:t>
            </w:r>
          </w:p>
        </w:tc>
      </w:tr>
      <w:tr>
        <w:trPr>
          <w:trHeight w:val="256" w:hRule="atLeast"/>
        </w:trPr>
        <w:tc>
          <w:tcPr>
            <w:tcW w:w="178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227" w:leader="none"/>
              </w:tabs>
              <w:jc w:val="left"/>
              <w:rPr/>
            </w:pPr>
            <w:r>
              <w:rPr/>
              <w:t>VLAN</w:t>
            </w:r>
          </w:p>
        </w:tc>
        <w:tc>
          <w:tcPr>
            <w:tcW w:w="7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Virtual Local Area Network — виртуальная локальная компьютерная сеть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4"/>
        <w:numPr>
          <w:ilvl w:val="1"/>
          <w:numId w:val="2"/>
        </w:numPr>
        <w:ind w:left="431" w:hanging="431"/>
        <w:rPr/>
      </w:pPr>
      <w:bookmarkStart w:id="2" w:name="__RefHeading___Toc5489_1206383367"/>
      <w:bookmarkEnd w:id="2"/>
      <w:r>
        <w:rPr/>
        <w:t>Наименование закупаемой продукции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Поставка сервера точного времени для пополнения аварийного запаса филиала ПАО "РусГидро" - "Зейская ГЭС".</w:t>
      </w:r>
    </w:p>
    <w:p>
      <w:pPr>
        <w:pStyle w:val="Heading4"/>
        <w:numPr>
          <w:ilvl w:val="1"/>
          <w:numId w:val="2"/>
        </w:numPr>
        <w:ind w:left="431" w:hanging="431"/>
        <w:rPr/>
      </w:pPr>
      <w:bookmarkStart w:id="3" w:name="__RefHeading___Toc5491_1206383367"/>
      <w:bookmarkEnd w:id="3"/>
      <w:r>
        <w:rPr/>
        <w:t>Цель использования закупа</w:t>
      </w:r>
      <w:bookmarkStart w:id="4" w:name="_GoBack"/>
      <w:bookmarkEnd w:id="4"/>
      <w:r>
        <w:rPr/>
        <w:t>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пополнения аварийного запаса Филиала, с целью минимизация материального ущерба от возможных технологических нарушений на оборудовании за счет сокращения времени обеспечения запасными частями и/или оборудованием, необходимыми для восстановительных или превентивных работ.</w:t>
      </w:r>
    </w:p>
    <w:p>
      <w:pPr>
        <w:pStyle w:val="Heading4"/>
        <w:numPr>
          <w:ilvl w:val="1"/>
          <w:numId w:val="2"/>
        </w:numPr>
        <w:ind w:left="431" w:hanging="431"/>
        <w:rPr/>
      </w:pPr>
      <w:bookmarkStart w:id="5" w:name="__RefHeading___Toc5493_1206383367"/>
      <w:bookmarkEnd w:id="5"/>
      <w:r>
        <w:rPr>
          <w:sz w:val="24"/>
          <w:szCs w:val="24"/>
        </w:rPr>
        <w:t>Существующее положение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 настоящий момент в Филиале эксплуатируется оборудование системы обеспечения единого времени (СОЕВ) с целью организации единой точки синхронизации времени. Разработаны и утверждены технические условия для систем  обеспечения единого времени (Приложение 1 к ТТ).</w:t>
      </w:r>
    </w:p>
    <w:p>
      <w:pPr>
        <w:pStyle w:val="Heading4"/>
        <w:numPr>
          <w:ilvl w:val="1"/>
          <w:numId w:val="2"/>
        </w:numPr>
        <w:ind w:left="431" w:hanging="431"/>
        <w:rPr/>
      </w:pPr>
      <w:bookmarkStart w:id="6" w:name="__RefHeading___Toc5495_1206383367"/>
      <w:bookmarkEnd w:id="6"/>
      <w:r>
        <w:rPr/>
        <w:t>Иные требования и сведения общего характера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Сервер точного времени должен быть поверенным и поставляться с действующим свидетельством о первичной поверке. Срок начала свидетельства о первичной поверке должен быть не более 6 месяцев с даты поставки.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bookmarkStart w:id="7" w:name="__RefHeading___Toc5497_1206383367"/>
      <w:bookmarkEnd w:id="7"/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54"/>
        <w:gridCol w:w="2499"/>
        <w:gridCol w:w="3041"/>
        <w:gridCol w:w="1556"/>
        <w:gridCol w:w="1568"/>
      </w:tblGrid>
      <w:tr>
        <w:trPr>
          <w:trHeight w:val="56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56" w:hRule="atLeast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Сервер точного времени</w:t>
            </w:r>
          </w:p>
        </w:tc>
        <w:tc>
          <w:tcPr>
            <w:tcW w:w="3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ИСС-2.7 (Арт. ИСС-К2-2П220-1М2-2М11-3М5-4М4) (или эквивалент)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поставки: с даты заключения договора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 xml:space="preserve">Окончание срока поставки: до </w:t>
      </w:r>
      <w:r>
        <w:rPr>
          <w:sz w:val="24"/>
          <w:szCs w:val="24"/>
        </w:rPr>
        <w:t>30</w:t>
      </w:r>
      <w:r>
        <w:rPr>
          <w:sz w:val="24"/>
          <w:szCs w:val="24"/>
        </w:rPr>
        <w:t>.1</w:t>
      </w:r>
      <w:r>
        <w:rPr>
          <w:sz w:val="24"/>
          <w:szCs w:val="24"/>
        </w:rPr>
        <w:t>1</w:t>
      </w:r>
      <w:r>
        <w:rPr>
          <w:sz w:val="24"/>
          <w:szCs w:val="24"/>
        </w:rPr>
        <w:t>.2026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6"/>
        <w:gridCol w:w="2830"/>
        <w:gridCol w:w="2"/>
        <w:gridCol w:w="2045"/>
        <w:gridCol w:w="1871"/>
        <w:gridCol w:w="1871"/>
      </w:tblGrid>
      <w:tr>
        <w:trPr/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4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6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487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вводов питания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вводов питания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Комбинированный, для питания от сети постоянного и переменного тока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питания постоянного тока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 (+30%-30%) В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питания переменного тока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 (+15%-30%) В, 47 — 63 Гц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1.1.5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20 Вт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487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Метрологические характеристики сервера синхронизации времени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Пределы допускаемых смещений формируемой шкалы времени относительно шкал времени UTC(SU) и UTC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±200 нс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Пределы допускаемых смещений формируемой шкалы времени относительно шкал времени UTC(SU) и UTC в режиме автономного хранения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±5 мс/сутки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допускаемого среднего квадратического относительного двухвыборочного отклонения частоты выходного сигнала 10 МГц при интервале времени измерений 100 с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>
              <w:rPr>
                <w:position w:val="0"/>
                <w:sz w:val="22"/>
                <w:sz w:val="22"/>
                <w:szCs w:val="22"/>
                <w:vertAlign w:val="baseline"/>
              </w:rPr>
              <w:t>1,5·10</w:t>
            </w:r>
            <w:r>
              <w:rPr>
                <w:sz w:val="28"/>
                <w:szCs w:val="28"/>
                <w:vertAlign w:val="superscript"/>
              </w:rPr>
              <w:t>-8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действующего свидетельства об утверждении типа, наличием информации в Федеральном информационном Фонде по обеспечению единства измерений (госреестр СИ)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Обязательно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1.2.5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Межповерочный интервал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4 лет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1.2.6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Действующее свидетельство о поверке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Обязательно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1.3</w:t>
            </w:r>
          </w:p>
        </w:tc>
        <w:tc>
          <w:tcPr>
            <w:tcW w:w="487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Форматы и интерфейсы сигналов синхронизации времени сервера синхронизации времени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эталонной шкалы времени для первичного сервера синхронизации времени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ГЛОНАСС, GPS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эталонной шкалы времени для вторичного сервера синхронизации времени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PTP Master Clock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1.3.3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Входной интерфейс для подключения антенны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BNC, 50 Ом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1.3.4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Импульсные сигналы, TTL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1PPS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1.3.5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Частотные сигналы, TTL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МГц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1.3.6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Временные коды IRIG-B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00x (000-007), IEEE 1344-1995, IEEE 1344 (C37.118-2005)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1.3.7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Строки данных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NMEA 0183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1.3.8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Сетевые протоколы, не менее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PTPv2 (IEEE 1588-2008), NTP, SNTP, Time Protocol, Daytime Protocol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1.3.9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портов Ethernet 10/100 Base-T с поддержкой PTP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4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1.3.10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выходов RS-485 с поддержкой NMEA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3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1.4</w:t>
            </w:r>
          </w:p>
        </w:tc>
        <w:tc>
          <w:tcPr>
            <w:tcW w:w="487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Комплектация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Антенна ГЛОНАСС/GPS с кабелем длинной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90 м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1.5</w:t>
            </w:r>
          </w:p>
        </w:tc>
        <w:tc>
          <w:tcPr>
            <w:tcW w:w="487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Имитационные испытания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1.5.1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Прохождение имитационных испытаний в объеме, представленном в пункте 4.4 ТУ (приложение №1 к ТТ) с привязкой к версии метрологически значимой части программного обеспечения, подтвержденных актом прохождения испытаний в независимой (специализированной) лаборатории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Обязательно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Предоставление подтверждающих документов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1.6</w:t>
            </w:r>
          </w:p>
        </w:tc>
        <w:tc>
          <w:tcPr>
            <w:tcW w:w="487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Цифровые протоколы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1.6.1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Поддержка протокола PRP стандарта МЭК 62439-3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Обязательно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1.6.2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Поддержка протокола SNMP стандарта RFC 1157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Обязательно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1.6.3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Поддержка стандарта IEEE 802.1Q с обеспечением возможности организации логических подинтерфейсов (subinterfaces) или алиасов (aliases) сети в каждом VLAN.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Обязательно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1.6.4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Поддержка режима ограничения перечня IP-адресов, с которых возможно внесение изменений в конфигурацию сервера точного времени.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Обязательно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1.7</w:t>
            </w:r>
          </w:p>
        </w:tc>
        <w:tc>
          <w:tcPr>
            <w:tcW w:w="487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Условия эксплуатации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1.7.1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Рабочий диапазон температуры окружающего воздуха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диапазона от -40 до +60 С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1.7.2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Относительная влажность при +30 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С,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90%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1.7.3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Атмосферное давление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диапазона от 460 до 800 мм рт. ст.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1.7.4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стойкости к механическим воздействиям по ГОСТ 17516.1-90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М41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1.7.5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Сейсмостойкость, при уровне установки над нулевой отметкой 10 м по шкале MSK-64, баллов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9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1.7.6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защиты корпуса по ГОСТ 14254-2015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IP50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1.8</w:t>
            </w:r>
          </w:p>
        </w:tc>
        <w:tc>
          <w:tcPr>
            <w:tcW w:w="487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Показатели надежности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1.8.1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наработка на отказ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125 000 ч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1.8.2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готовности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0,999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1.8.3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 время восстановления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0,5 ч.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1.8.4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Назначенный полный срок службы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25 лет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1.9</w:t>
            </w:r>
          </w:p>
        </w:tc>
        <w:tc>
          <w:tcPr>
            <w:tcW w:w="487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Показатели непрерывности рабочего режима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1.9.1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установления рабочего режима при подаче питания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10 с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1.9.2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обеспечения метрологических характеристик после «холодного» старта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35 минут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1.9.3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непрерывной работы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Неограниченная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1.10</w:t>
            </w:r>
          </w:p>
        </w:tc>
        <w:tc>
          <w:tcPr>
            <w:tcW w:w="487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Конструктивное исполнение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1.10.1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дюймов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1.10.2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1U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1.10.3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5 кг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1.11</w:t>
            </w:r>
          </w:p>
        </w:tc>
        <w:tc>
          <w:tcPr>
            <w:tcW w:w="487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Помехоустойчивость и ЭМС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1.11.1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Устойчивость к провалам напряжения питания:</w:t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• </w:t>
            </w:r>
            <w:r>
              <w:rPr>
                <w:sz w:val="22"/>
                <w:szCs w:val="22"/>
              </w:rPr>
              <w:t>до уровня 0,4·Uном, длительность</w:t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• </w:t>
            </w:r>
            <w:r>
              <w:rPr>
                <w:sz w:val="22"/>
                <w:szCs w:val="22"/>
              </w:rPr>
              <w:t>до уровня 0,7·Uном, длительность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0,1 с</w:t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1,0 с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1.11.2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Устойчивость к выбросам напряжения питания до уровня 1,2·Uном, длительность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1,0 с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1.11.3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Устойчивость к перерывам напряжения питания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0,5 с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1.11.4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Устойчивость к пульсациям напряжения электропитания по ГОСТ Р 51317.4.17, при питании от сети постоянного тока, степень жесткости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1.11.5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Устойчивость к искажениям синусоидальности напряжения электропитания по ГОСТ 30804.4.13, при питании от сети переменного тока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класс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1.11.6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Устойчивость к изменениям частоты напряжения электропитания по ГОСТ Р 51317.4.28, при питании от сети переменного тока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42-72 Гц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1.11.7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Устойчивость к воздействию в цепи защитного заземления токов микросекундных импульсных помех и токов кратковременных синусоидальных помех по ГОСТ 32137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4 степень жёсткости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1.11.8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Устойчивость к воздействию внешнего магнитного поля промышленной частоты по ГОСТ Р 50648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степень жёсткости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1.11.9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Устойчивость к воздействию внешнего радиочастотного электромагнитного поля по ГОСТ 30804.4.3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степень жёсткости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1.11.10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Устойчивость к воздействию импульсного магнитного поля по ГОСТ Р 50649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степень жёсткости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1.11.11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Устойчивость к электростатическим разрядам по ГОСТ 30804.4.2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степень жёсткости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1.11.12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Устойчивость к одиночным колебательным затухающим помехам по ГОСТ IEC 61000-4-12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степень жёсткости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1.11.13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Устойчивость к повторяющимся колебательным затухающим помехам по ГОСТ IEC 61000-4-18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степень жёсткости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1.11.14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Устойчивость к микросекундным импульсным помехам большой энергии по ГОСТ Р 51317.4.5:</w:t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• </w:t>
            </w:r>
            <w:r>
              <w:rPr>
                <w:sz w:val="22"/>
                <w:szCs w:val="22"/>
              </w:rPr>
              <w:t>по схеме «провод-земля»</w:t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• </w:t>
            </w:r>
            <w:r>
              <w:rPr>
                <w:sz w:val="22"/>
                <w:szCs w:val="22"/>
              </w:rPr>
              <w:t>по схеме «провод-провод»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степень жесткости</w:t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степень жесткости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1.11.15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Устойчивость к наносекундным импульсным помехам по ГОСТ 30804.4.4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степень жесткости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1.11.16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Устойчивость к кондуктивным помехам, наведённым электромагнитными полями в полосе частот (0,15–80) МГц по ГОСТ Р 51317.4.6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степень жесткости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1.11.17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Устойчивость к кондуктивным помехам в полосе частот (0–150) кГц по ГОСТ Р 51317.4.16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степень жесткости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1.11.18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Устойчивость к воздействию колебательного затухающего магнитного поля по ГОСТ Р 50652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степень жесткости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1.11.19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Эмиссия радиопомех по ГОСТ 30804.6.4 и ГОСТ 30805,</w:t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на вводах электропитания устройства:</w:t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• </w:t>
            </w:r>
            <w:r>
              <w:rPr>
                <w:sz w:val="22"/>
                <w:szCs w:val="22"/>
              </w:rPr>
              <w:t>в полосе частот (0,15–0,5) МГц относительно 1 мкВ</w:t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• </w:t>
            </w:r>
            <w:r>
              <w:rPr>
                <w:sz w:val="22"/>
                <w:szCs w:val="22"/>
              </w:rPr>
              <w:t>в полосе частот (0,5–30,0) МГц относительно 1 мкВ,</w:t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квазипиковое значение напряженности поля радиопомех на расстоянии 10 м от устройства:</w:t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• </w:t>
            </w:r>
            <w:r>
              <w:rPr>
                <w:sz w:val="22"/>
                <w:szCs w:val="22"/>
              </w:rPr>
              <w:t>в полосе частот (30,0–230) МГц относительно 1 мкВ</w:t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• </w:t>
            </w:r>
            <w:r>
              <w:rPr>
                <w:sz w:val="22"/>
                <w:szCs w:val="22"/>
              </w:rPr>
              <w:t>в полосе частот (230–1000) МГц относительно 1 мкВ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79 дБ</w:t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73 дБ</w:t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40 дБ</w:t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47 дБ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указание характеристик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1.12</w:t>
            </w:r>
          </w:p>
        </w:tc>
        <w:tc>
          <w:tcPr>
            <w:tcW w:w="487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Иные требования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1.12.1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другим требованиям ТУ в части сервера синхронизации времени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Обязательно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6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Требования к доставке, маркировке, упаковке, транспортировке, перемещению, условиям хранения, приемке и испытаниям, </w:t>
            </w:r>
            <w:r>
              <w:rPr>
                <w:b/>
                <w:bCs/>
                <w:sz w:val="22"/>
                <w:szCs w:val="22"/>
              </w:rPr>
              <w:t>гарантии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2.2.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2.3.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Гарантийные условия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Гарантийный срок на Товар, поставленный по Договору, составляет 12 (двенадцать) месяцев, но не менее гарантийного срока, установленного предприятием-изготовителем на данный тип Товара.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Предоставление подтверждающих документов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6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iCs/>
                <w:kern w:val="0"/>
                <w:sz w:val="22"/>
                <w:szCs w:val="22"/>
                <w:lang w:val="ru-RU" w:bidi="ar-SA"/>
              </w:rPr>
              <w:t>Документы, передаваемые вместе с оборудованием*</w:t>
            </w:r>
          </w:p>
        </w:tc>
        <w:tc>
          <w:tcPr>
            <w:tcW w:w="20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Сертификат соответствия, описание типа средства измерений, свидетельство об утверждении типа средств измерений, свидетельство о первичной поверке.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(* Документы, подтверждающие качество, которые будут предоставлены вместе с товаром)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6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требования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4.1</w:t>
            </w:r>
          </w:p>
        </w:tc>
        <w:tc>
          <w:tcPr>
            <w:tcW w:w="283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Требования к происхождению поставляемого оборудования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Поставляемое оборудование должно быть российского происхождения – должно быть включено в один из реестров: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1) реестр промышленной продукции, произведенной на территории Российской Федерации (постановление Правительства РФ от </w:t>
            </w:r>
            <w:r>
              <w:rPr>
                <w:rFonts w:eastAsia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23</w:t>
            </w:r>
            <w:r>
              <w:rPr>
                <w:rFonts w:eastAsia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.</w:t>
            </w:r>
            <w:r>
              <w:rPr>
                <w:rFonts w:eastAsia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12</w:t>
            </w:r>
            <w:r>
              <w:rPr>
                <w:rFonts w:eastAsia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.202</w:t>
            </w:r>
            <w:r>
              <w:rPr>
                <w:rFonts w:eastAsia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  <w:r>
              <w:rPr>
                <w:rFonts w:eastAsia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№ </w:t>
            </w:r>
            <w:r>
              <w:rPr>
                <w:rFonts w:eastAsia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1875</w:t>
            </w:r>
            <w:r>
              <w:rPr>
                <w:rFonts w:eastAsia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);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2) единый реестр российской радиоэлектронной продукции (постановление Правительства РФ от 10.07.2019 № 878);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Предоставление номера реестровой записи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87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bCs/>
                <w:kern w:val="0"/>
                <w:sz w:val="22"/>
                <w:szCs w:val="22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87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</w:tbl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4. Приложения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4.1. Приложение 1. Технические условия 4282-001-75782411-2019 ТУ на систему обеспечения единого времени.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80638446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numPr>
        <w:ilvl w:val="0"/>
      </w:num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numPr>
        <w:ilvl w:val="1"/>
      </w:num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C5BCB-4F34-432B-8C7D-AEE0DD7E7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Application>AlterOffice/3.4.0.9$Linux_X86_64 LibreOffice_project/b8daf9e823b1a5463a2f48435ddc2e8696e7d4fc</Application>
  <AppVersion>15.0000</AppVersion>
  <DocSecurity>4</DocSecurity>
  <Pages>12</Pages>
  <Words>1882</Words>
  <Characters>12349</Characters>
  <CharactersWithSpaces>13743</CharactersWithSpaces>
  <Paragraphs>521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2025-01-21T04:54:00Z</dcterms:created>
  <dc:creator>Смирнов Константин Русланович</dc:creator>
  <dc:description/>
  <dc:language>ru-RU</dc:language>
  <cp:lastModifiedBy>udoddv@corp.gidroogk.com</cp:lastModifiedBy>
  <cp:lastPrinted>2023-01-12T00:12:00Z</cp:lastPrinted>
  <dcterms:modified xsi:type="dcterms:W3CDTF">2025-12-09T15:21:48Z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