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lang w:val="en-US"/>
        </w:rPr>
      </w:pPr>
      <w:r>
        <w:rPr>
          <w:rFonts w:eastAsia="Calibri"/>
          <w:b/>
        </w:rPr>
        <w:t xml:space="preserve">Технические требования </w:t>
      </w:r>
      <w:r>
        <w:rPr>
          <w:rFonts w:eastAsia="Calibri"/>
          <w:b/>
          <w:lang w:val="en-US"/>
        </w:rPr>
        <w:t xml:space="preserve">   </w:t>
      </w:r>
      <w:bookmarkStart w:id="0" w:name="_GoBack"/>
      <w:bookmarkEnd w:id="0"/>
    </w:p>
    <w:p>
      <w:pPr>
        <w:pStyle w:val="Titl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BodyText"/>
        <w:jc w:val="center"/>
        <w:rPr/>
      </w:pPr>
      <w:r>
        <w:rPr>
          <w:b/>
          <w:bCs/>
        </w:rPr>
        <w:t>ОКПД2 26.51.53.140 Поставка газового хроматографа для нужд Филиала ПАО "РусГидро"-"Карачаево-Черкесский филиал" в рамках выполнения инвестиционного проекта Т-1190-00075</w:t>
      </w:r>
    </w:p>
    <w:p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Лот № 7-ТПиР-ОНМ-2026-КЧФ 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Title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Title"/>
        <w:rPr>
          <w:sz w:val="28"/>
          <w:szCs w:val="28"/>
        </w:rPr>
      </w:pPr>
      <w:r>
        <w:rPr>
          <w:b w:val="false"/>
          <w:sz w:val="28"/>
          <w:szCs w:val="28"/>
        </w:rPr>
        <w:t xml:space="preserve"> 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921" w:leader="dot"/>
            </w:tabs>
            <w:rPr>
              <w:b w:val="false"/>
              <w:sz w:val="28"/>
              <w:szCs w:val="28"/>
            </w:rPr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1439162_3604399662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>
              <w:sz w:val="28"/>
              <w:szCs w:val="28"/>
            </w:rPr>
          </w:pPr>
          <w:hyperlink w:anchor="__RefHeading___Toc1439164_3604399662">
            <w:r>
              <w:rPr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>
              <w:sz w:val="28"/>
              <w:szCs w:val="28"/>
            </w:rPr>
          </w:pPr>
          <w:hyperlink w:anchor="__RefHeading___Toc1439166_3604399662">
            <w:r>
              <w:rPr>
                <w:rStyle w:val="Style14"/>
              </w:rPr>
              <w:t xml:space="preserve">1.2. Наименование закупаемого </w:t>
            </w:r>
            <w:r>
              <w:rPr>
                <w:rStyle w:val="Style14"/>
                <w:lang w:val="en-US"/>
              </w:rPr>
              <w:t>Товара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>
              <w:sz w:val="28"/>
              <w:szCs w:val="28"/>
            </w:rPr>
          </w:pPr>
          <w:hyperlink w:anchor="__RefHeading___Toc1955_902007666">
            <w:r>
              <w:rPr>
                <w:rStyle w:val="Style14"/>
              </w:rPr>
              <w:t>1.3. Цель использования закупаемого Товара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>
              <w:sz w:val="28"/>
              <w:szCs w:val="28"/>
            </w:rPr>
          </w:pPr>
          <w:hyperlink w:anchor="__RefHeading___Toc573497_305206420">
            <w:r>
              <w:rPr>
                <w:rStyle w:val="Style14"/>
              </w:rPr>
              <w:t>1.4. Существующее положение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>
              <w:sz w:val="28"/>
              <w:szCs w:val="28"/>
            </w:rPr>
          </w:pPr>
          <w:hyperlink w:anchor="__RefHeading___Toc1439176_3604399662">
            <w:r>
              <w:rPr>
                <w:rStyle w:val="Style14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>
              <w:sz w:val="28"/>
              <w:szCs w:val="28"/>
            </w:rPr>
          </w:pPr>
          <w:hyperlink w:anchor="__RefHeading___Toc1439180_3604399662">
            <w:r>
              <w:rPr>
                <w:rStyle w:val="Style14"/>
              </w:rPr>
              <w:t>1.6. Иные требования и сведения общего характера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>
              <w:b w:val="false"/>
              <w:sz w:val="28"/>
              <w:szCs w:val="28"/>
            </w:rPr>
          </w:pPr>
          <w:hyperlink w:anchor="__RefHeading___Toc1439182_3604399662">
            <w:r>
              <w:rPr>
                <w:rStyle w:val="Style14"/>
              </w:rPr>
              <w:t>2.  Требования к Товару</w:t>
              <w:tab/>
              <w:t>5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>
              <w:sz w:val="28"/>
              <w:szCs w:val="28"/>
            </w:rPr>
          </w:pPr>
          <w:hyperlink w:anchor="__RefHeading___Toc1439184_3604399662">
            <w:r>
              <w:rPr>
                <w:rStyle w:val="Style14"/>
              </w:rPr>
              <w:t>2.1. Требования к объемам и срокам поставки</w:t>
              <w:tab/>
              <w:t>5</w:t>
            </w:r>
          </w:hyperlink>
        </w:p>
        <w:p>
          <w:pPr>
            <w:pStyle w:val="TOC3"/>
            <w:tabs>
              <w:tab w:val="clear" w:pos="720"/>
              <w:tab w:val="right" w:pos="9921" w:leader="dot"/>
            </w:tabs>
            <w:rPr>
              <w:sz w:val="28"/>
              <w:szCs w:val="28"/>
            </w:rPr>
          </w:pPr>
          <w:hyperlink w:anchor="__RefHeading___Toc1439186_3604399662">
            <w:r>
              <w:rPr>
                <w:rStyle w:val="Style14"/>
              </w:rPr>
              <w:t>2.1.1. Перечень и объем закупаемого Товара</w:t>
            </w:r>
            <w:r>
              <w:rPr>
                <w:rStyle w:val="Style14"/>
                <w:lang w:val="en-US"/>
              </w:rPr>
              <w:t xml:space="preserve"> 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>
              <w:b w:val="false"/>
              <w:sz w:val="28"/>
              <w:szCs w:val="28"/>
            </w:rPr>
          </w:pPr>
          <w:hyperlink w:anchor="__RefHeading___Toc1439188_3604399662">
            <w:r>
              <w:rPr>
                <w:rStyle w:val="Style14"/>
              </w:rPr>
              <w:t>Таблица 1.1 Перечень и объем закупаемого Товара</w:t>
            </w:r>
            <w:r>
              <w:rPr>
                <w:rStyle w:val="Style14"/>
                <w:lang w:val="en-US"/>
              </w:rPr>
              <w:t xml:space="preserve"> 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>
              <w:b w:val="false"/>
              <w:sz w:val="28"/>
              <w:szCs w:val="28"/>
            </w:rPr>
          </w:pPr>
          <w:hyperlink w:anchor="__RefHeading___Toc1439188_36043996621">
            <w:r>
              <w:rPr>
                <w:rStyle w:val="Style14"/>
              </w:rPr>
              <w:t>Таблица 1.2 Технические характеристики поставляемого Товара</w:t>
              <w:tab/>
            </w:r>
          </w:hyperlink>
          <w:r>
            <w:rPr>
              <w:b w:val="false"/>
              <w:sz w:val="28"/>
              <w:szCs w:val="28"/>
            </w:rPr>
            <w:t>5</w:t>
          </w:r>
        </w:p>
        <w:p>
          <w:pPr>
            <w:pStyle w:val="TOC3"/>
            <w:tabs>
              <w:tab w:val="clear" w:pos="720"/>
              <w:tab w:val="right" w:pos="9921" w:leader="dot"/>
            </w:tabs>
            <w:rPr>
              <w:sz w:val="28"/>
              <w:szCs w:val="28"/>
            </w:rPr>
          </w:pPr>
          <w:hyperlink w:anchor="__RefHeading___Toc1439190_3604399662">
            <w:r>
              <w:rPr>
                <w:rStyle w:val="Style14"/>
              </w:rPr>
              <w:t>2.1.2. Требования к срокам поставки Товара и оказания сопутствующих услуг</w:t>
              <w:tab/>
            </w:r>
          </w:hyperlink>
          <w:r>
            <w:rPr/>
            <w:t>7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>
              <w:b w:val="false"/>
              <w:sz w:val="28"/>
              <w:szCs w:val="28"/>
            </w:rPr>
          </w:pPr>
          <w:hyperlink w:anchor="__RefHeading___Toc1439192_3604399662">
            <w:r>
              <w:rPr>
                <w:rStyle w:val="Style14"/>
              </w:rPr>
              <w:t>Таблица 2.1 Требования по срокам поставки Товара</w:t>
              <w:tab/>
            </w:r>
          </w:hyperlink>
          <w:r>
            <w:rPr>
              <w:b/>
              <w:bCs/>
              <w:sz w:val="28"/>
              <w:szCs w:val="28"/>
            </w:rPr>
            <w:t>7</w:t>
          </w:r>
        </w:p>
        <w:p>
          <w:pPr>
            <w:pStyle w:val="TOC4"/>
            <w:tabs>
              <w:tab w:val="clear" w:pos="720"/>
              <w:tab w:val="right" w:pos="9921" w:leader="dot"/>
            </w:tabs>
            <w:rPr>
              <w:sz w:val="28"/>
              <w:szCs w:val="28"/>
            </w:rPr>
          </w:pPr>
          <w:hyperlink w:anchor="__RefHeading___Toc1439196_3604399662">
            <w:r>
              <w:rPr>
                <w:rStyle w:val="Style14"/>
              </w:rPr>
              <w:t>2.2. Требования к качеству Товара</w:t>
              <w:tab/>
            </w:r>
          </w:hyperlink>
          <w:r>
            <w:rPr/>
            <w:t>8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>
              <w:b w:val="false"/>
              <w:sz w:val="28"/>
              <w:szCs w:val="28"/>
            </w:rPr>
          </w:pPr>
          <w:hyperlink w:anchor="__RefHeading___Toc1439198_3604399662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Товар</w:t>
            </w:r>
            <w:r>
              <w:rPr>
                <w:rStyle w:val="Style14"/>
                <w:lang w:val="en-US"/>
              </w:rPr>
              <w:t>у</w:t>
            </w:r>
            <w:r>
              <w:rPr>
                <w:rStyle w:val="Style14"/>
              </w:rPr>
              <w:tab/>
            </w:r>
          </w:hyperlink>
          <w:r>
            <w:rPr/>
            <w:t>8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>
              <w:b w:val="false"/>
              <w:sz w:val="28"/>
              <w:szCs w:val="28"/>
            </w:rPr>
          </w:pPr>
          <w:hyperlink w:anchor="__RefHeading___Toc1439200_3604399662">
            <w:r>
              <w:rPr>
                <w:rStyle w:val="Style14"/>
              </w:rPr>
              <w:t>3. Требования к документации по ценообразованию на этапе закупки</w:t>
              <w:tab/>
            </w:r>
            <w:r>
              <w:rPr>
                <w:rStyle w:val="Style14"/>
                <w:rFonts w:cs="Calibri Light (Заголовки)"/>
                <w:b/>
                <w:bCs/>
                <w:sz w:val="24"/>
                <w:szCs w:val="24"/>
              </w:rPr>
              <w:t>1</w:t>
            </w:r>
          </w:hyperlink>
          <w:r>
            <w:rPr>
              <w:rFonts w:cs="Calibri Light (Заголовки)"/>
              <w:b/>
              <w:bCs/>
              <w:sz w:val="24"/>
              <w:szCs w:val="24"/>
            </w:rPr>
            <w:t>6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rPr>
              <w:sz w:val="24"/>
              <w:szCs w:val="24"/>
            </w:rPr>
            <w:t>4</w:t>
          </w:r>
          <w:hyperlink w:anchor="__RefHeading___Toc1439204_3604399662">
            <w:r>
              <w:rPr>
                <w:rStyle w:val="Style14"/>
                <w:sz w:val="24"/>
                <w:szCs w:val="24"/>
              </w:rPr>
              <w:t xml:space="preserve">. </w:t>
            </w:r>
            <w:r>
              <w:rPr>
                <w:rStyle w:val="Style14"/>
                <w:iCs/>
                <w:sz w:val="24"/>
                <w:szCs w:val="24"/>
              </w:rPr>
              <w:t>Приложения</w:t>
            </w:r>
            <w:r>
              <w:rPr>
                <w:rStyle w:val="Style14"/>
                <w:sz w:val="24"/>
                <w:szCs w:val="24"/>
              </w:rPr>
              <w:tab/>
            </w:r>
            <w:r>
              <w:rPr>
                <w:rStyle w:val="Style14"/>
                <w:rFonts w:cs="Calibri Light (Заголовки)"/>
                <w:b/>
                <w:bCs/>
                <w:sz w:val="24"/>
                <w:szCs w:val="24"/>
              </w:rPr>
              <w:t>1</w:t>
            </w:r>
          </w:hyperlink>
          <w:r>
            <w:rPr>
              <w:rFonts w:cs="Calibri Light (Заголовки)"/>
              <w:b/>
              <w:bCs/>
              <w:sz w:val="24"/>
              <w:szCs w:val="24"/>
            </w:rPr>
            <w:t>7</w:t>
          </w:r>
          <w:r>
            <w:rPr>
              <w:sz w:val="24"/>
              <w:b/>
              <w:szCs w:val="24"/>
              <w:bCs/>
              <w:rFonts w:cs="Calibri Light (Заголовки)"/>
            </w:rPr>
            <w:fldChar w:fldCharType="end"/>
          </w:r>
        </w:p>
      </w:sdtContent>
    </w:sdt>
    <w:p>
      <w:pPr>
        <w:pStyle w:val="Heading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rPr/>
      </w:pPr>
      <w:bookmarkStart w:id="1" w:name="__RefHeading___Toc1439162_3604399662"/>
      <w:bookmarkStart w:id="2" w:name="_Toc75446566"/>
      <w:bookmarkStart w:id="3" w:name="_Toc51339692"/>
      <w:bookmarkEnd w:id="1"/>
      <w:r>
        <w:rPr/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rPr/>
      </w:pPr>
      <w:bookmarkStart w:id="4" w:name="__RefHeading___Toc1439164_3604399662"/>
      <w:bookmarkStart w:id="5" w:name="_Toc46743505"/>
      <w:bookmarkStart w:id="6" w:name="_Toc75446567"/>
      <w:bookmarkEnd w:id="4"/>
      <w:r>
        <w:rPr/>
        <w:t>Обозначения и сокращения</w:t>
      </w:r>
      <w:bookmarkEnd w:id="5"/>
      <w:bookmarkEnd w:id="6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040"/>
        <w:gridCol w:w="7739"/>
      </w:tblGrid>
      <w:tr>
        <w:trPr>
          <w:cantSplit w:val="true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ГОСТ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5" w:leader="none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Межгосударственный стандарт</w:t>
            </w:r>
          </w:p>
        </w:tc>
      </w:tr>
      <w:tr>
        <w:trPr>
          <w:cantSplit w:val="true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ГЭС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5" w:leader="none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ГАЭС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5" w:leader="none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Гидроаккумул</w:t>
            </w:r>
            <w:r>
              <w:rPr>
                <w:bCs/>
                <w:iCs/>
                <w:sz w:val="24"/>
                <w:szCs w:val="24"/>
                <w:lang w:val="en-US"/>
              </w:rPr>
              <w:t>и</w:t>
            </w:r>
            <w:r>
              <w:rPr>
                <w:bCs/>
                <w:iCs/>
                <w:sz w:val="24"/>
                <w:szCs w:val="24"/>
              </w:rPr>
              <w:t>рующая электростанция</w:t>
            </w:r>
          </w:p>
        </w:tc>
      </w:tr>
      <w:tr>
        <w:trPr>
          <w:cantSplit w:val="true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РД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5" w:leader="none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Руководящий документ</w:t>
            </w:r>
          </w:p>
        </w:tc>
      </w:tr>
      <w:tr>
        <w:trPr>
          <w:cantSplit w:val="true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  РусГидро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5" w:leader="none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5" w:leader="none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Персональный компьютер</w:t>
            </w:r>
          </w:p>
        </w:tc>
      </w:tr>
      <w:tr>
        <w:trPr>
          <w:cantSplit w:val="true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ЗИП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5" w:leader="none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Запасные части, инструменты и принадлежности</w:t>
            </w:r>
          </w:p>
        </w:tc>
      </w:tr>
      <w:tr>
        <w:trPr>
          <w:cantSplit w:val="true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75" w:leader="none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7" w:name="__RefHeading___Toc1439166_3604399662"/>
      <w:bookmarkStart w:id="8" w:name="_Toc75446568"/>
      <w:bookmarkStart w:id="9" w:name="_Toc46743506"/>
      <w:bookmarkEnd w:id="7"/>
      <w:r>
        <w:rPr/>
        <w:t>Наименование закупаемо</w:t>
      </w:r>
      <w:r>
        <w:rPr>
          <w:lang w:val="en-US"/>
        </w:rPr>
        <w:t>го</w:t>
      </w:r>
      <w:r>
        <w:rPr/>
        <w:t xml:space="preserve"> </w:t>
      </w:r>
      <w:bookmarkEnd w:id="8"/>
      <w:bookmarkEnd w:id="9"/>
      <w:r>
        <w:rPr>
          <w:lang w:val="ru-RU"/>
        </w:rPr>
        <w:t>Товара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  <w:lang w:val="x-none" w:eastAsia="x-none"/>
        </w:rPr>
        <w:t>ОКПД2 26.51.53.140 Постав</w:t>
      </w:r>
      <w:r>
        <w:rPr>
          <w:sz w:val="24"/>
          <w:szCs w:val="24"/>
        </w:rPr>
        <w:t xml:space="preserve">ка  газового хроматографа для нужд </w:t>
      </w:r>
      <w:r>
        <w:rPr>
          <w:rFonts w:eastAsia="Calibri"/>
          <w:color w:val="000000"/>
          <w:sz w:val="24"/>
          <w:szCs w:val="24"/>
          <w:lang w:val="x-none" w:eastAsia="x-none"/>
        </w:rPr>
        <w:t>Филиала ПАО "РусГидро"-"Карачаево-Черкесский филиал"</w:t>
      </w:r>
      <w:r>
        <w:rPr>
          <w:sz w:val="24"/>
          <w:szCs w:val="24"/>
        </w:rPr>
        <w:t xml:space="preserve">  в</w:t>
      </w:r>
      <w:r>
        <w:rPr>
          <w:rFonts w:eastAsia="Calibri"/>
          <w:color w:val="000000"/>
          <w:sz w:val="24"/>
          <w:szCs w:val="24"/>
          <w:lang w:val="x-none" w:eastAsia="x-none"/>
        </w:rPr>
        <w:t xml:space="preserve"> рамках выполнения инвестиционного проекта Т-1190-00075 </w:t>
      </w:r>
    </w:p>
    <w:p>
      <w:pPr>
        <w:pStyle w:val="Heading4"/>
        <w:numPr>
          <w:ilvl w:val="1"/>
          <w:numId w:val="3"/>
        </w:numPr>
        <w:rPr/>
      </w:pPr>
      <w:bookmarkStart w:id="10" w:name="__RefHeading___Toc1955_902007666"/>
      <w:bookmarkStart w:id="11" w:name="_Toc75446569"/>
      <w:bookmarkStart w:id="12" w:name="_Toc46743507"/>
      <w:bookmarkEnd w:id="10"/>
      <w:r>
        <w:rPr/>
        <w:t xml:space="preserve">Цель </w:t>
      </w:r>
      <w:bookmarkEnd w:id="12"/>
      <w:r>
        <w:rPr/>
        <w:t xml:space="preserve">использования закупаемого </w:t>
      </w:r>
      <w:bookmarkEnd w:id="11"/>
      <w:r>
        <w:rPr>
          <w:lang w:val="ru-RU"/>
        </w:rPr>
        <w:t>Товара</w:t>
      </w:r>
      <w:r>
        <w:rPr>
          <w:lang w:val="en-US"/>
        </w:rPr>
        <w:t>.</w:t>
      </w:r>
    </w:p>
    <w:p>
      <w:pPr>
        <w:pStyle w:val="Normal"/>
        <w:ind w:firstLine="709"/>
        <w:jc w:val="both"/>
        <w:rPr>
          <w:bCs/>
          <w:sz w:val="24"/>
        </w:rPr>
      </w:pPr>
      <w:r>
        <w:rPr>
          <w:bCs/>
          <w:sz w:val="24"/>
        </w:rPr>
        <w:t>Для выполнения работ по контролю качества</w:t>
      </w:r>
      <w:r>
        <w:rPr>
          <w:bCs/>
          <w:sz w:val="24"/>
          <w:szCs w:val="24"/>
          <w:lang w:eastAsia="x-none"/>
        </w:rPr>
        <w:t xml:space="preserve"> энергетических масел, определения основных показателей силовых трансформаторов и  своевременному выявлению отклонений от нормативных стандартов в работе электрооборудования, степени развития и опасности возможных дефектов состояния электрооборудования на ранних стадиях, приобретение газового хроматографа позволит выполнять следующие задачи:</w:t>
      </w:r>
    </w:p>
    <w:p>
      <w:pPr>
        <w:pStyle w:val="Normal"/>
        <w:ind w:firstLine="709"/>
        <w:jc w:val="both"/>
        <w:rPr>
          <w:bCs/>
          <w:sz w:val="24"/>
        </w:rPr>
      </w:pPr>
      <w:r>
        <w:rPr>
          <w:bCs/>
          <w:sz w:val="24"/>
          <w:szCs w:val="24"/>
          <w:lang w:eastAsia="x-none"/>
        </w:rPr>
        <w:t xml:space="preserve">1. проведение хроматографического анализа </w:t>
      </w:r>
      <w:r>
        <w:rPr>
          <w:rStyle w:val="Style8"/>
          <w:b w:val="false"/>
          <w:bCs/>
          <w:i w:val="false"/>
          <w:color w:val="000000"/>
          <w:sz w:val="24"/>
          <w:shd w:fill="auto" w:val="clear"/>
        </w:rPr>
        <w:t xml:space="preserve">газов, растворенных в трансформаторном масле в соответствии с РД 34.46.303-98; </w:t>
      </w:r>
    </w:p>
    <w:p>
      <w:pPr>
        <w:pStyle w:val="Normal"/>
        <w:ind w:firstLine="709"/>
        <w:jc w:val="both"/>
        <w:rPr>
          <w:bCs/>
          <w:sz w:val="24"/>
        </w:rPr>
      </w:pPr>
      <w:r>
        <w:rPr>
          <w:rStyle w:val="Style8"/>
          <w:b w:val="false"/>
          <w:bCs/>
          <w:i w:val="false"/>
          <w:color w:val="000000"/>
          <w:sz w:val="24"/>
          <w:shd w:fill="auto" w:val="clear"/>
        </w:rPr>
        <w:t>2.  анализ общего газосодержания и воды по РД 34.43.107-95;</w:t>
      </w:r>
    </w:p>
    <w:p>
      <w:pPr>
        <w:pStyle w:val="Normal"/>
        <w:ind w:firstLine="709"/>
        <w:jc w:val="both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auto" w:val="clear"/>
          <w:lang w:eastAsia="x-none"/>
        </w:rPr>
        <w:t>3. определение содержания фурановых производных в трансформаторном масле.</w:t>
      </w:r>
    </w:p>
    <w:p>
      <w:pPr>
        <w:pStyle w:val="Normal"/>
        <w:ind w:firstLine="709"/>
        <w:jc w:val="both"/>
        <w:rPr>
          <w:bCs/>
          <w:sz w:val="24"/>
        </w:rPr>
      </w:pPr>
      <w:r>
        <w:rPr>
          <w:rStyle w:val="Style8"/>
          <w:b w:val="false"/>
          <w:i w:val="false"/>
          <w:color w:val="000000"/>
          <w:sz w:val="24"/>
          <w:szCs w:val="24"/>
          <w:shd w:fill="auto" w:val="clear"/>
          <w:lang w:eastAsia="x-none"/>
        </w:rPr>
        <w:t>4. определение содержания антиокислительной присадки ионол в трансформаторном масле.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br/>
      </w:r>
    </w:p>
    <w:p>
      <w:pPr>
        <w:pStyle w:val="Heading4"/>
        <w:numPr>
          <w:ilvl w:val="1"/>
          <w:numId w:val="3"/>
        </w:numPr>
        <w:rPr/>
      </w:pPr>
      <w:bookmarkStart w:id="13" w:name="__RefHeading___Toc1439176_3604399662"/>
      <w:bookmarkStart w:id="14" w:name="_Toc46743509"/>
      <w:bookmarkStart w:id="15" w:name="_Toc75446571"/>
      <w:bookmarkStart w:id="16" w:name="_Hlk49857604"/>
      <w:bookmarkEnd w:id="13"/>
      <w:r>
        <w:rPr/>
        <w:t xml:space="preserve">Информация в отношении исполнения договора, </w:t>
      </w:r>
      <w:bookmarkStart w:id="17" w:name="_Hlk46492347"/>
      <w:r>
        <w:rPr/>
        <w:t xml:space="preserve">которая должна быть учтена при подготовке заявки </w:t>
      </w:r>
      <w:bookmarkEnd w:id="17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покупателем</w:t>
      </w:r>
      <w:r>
        <w:rPr/>
        <w:t xml:space="preserve"> на этапе исполнения договора)</w:t>
      </w:r>
      <w:bookmarkEnd w:id="14"/>
      <w:bookmarkEnd w:id="15"/>
      <w:bookmarkEnd w:id="16"/>
    </w:p>
    <w:p>
      <w:pPr>
        <w:pStyle w:val="BodyText"/>
        <w:tabs>
          <w:tab w:val="clear" w:pos="720"/>
          <w:tab w:val="left" w:pos="851" w:leader="none"/>
        </w:tabs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ab/>
      </w:r>
      <w:r>
        <w:rPr>
          <w:rStyle w:val="Style8"/>
          <w:b w:val="false"/>
          <w:bCs/>
          <w:i w:val="false"/>
          <w:color w:val="1A1A1A"/>
          <w:sz w:val="24"/>
          <w:szCs w:val="24"/>
          <w:shd w:fill="auto" w:val="clear"/>
        </w:rPr>
        <w:t xml:space="preserve">Поставляемый </w:t>
      </w:r>
      <w:r>
        <w:rPr>
          <w:bCs/>
          <w:color w:val="1A1A1A"/>
          <w:sz w:val="24"/>
          <w:szCs w:val="24"/>
        </w:rPr>
        <w:t>Товар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 должен быть новым, не бывшим в эксплуатации до момента его получения Покупателем, не восстановленным, не поврежденным, без дефектов, без каких-либо ограничений (залог, запрет и др.),</w:t>
      </w:r>
      <w:r>
        <w:rPr>
          <w:color w:val="1A1A1A"/>
          <w:sz w:val="24"/>
          <w:szCs w:val="24"/>
        </w:rPr>
        <w:t xml:space="preserve"> иметь стандартную заводскую упаковку, имеющую оригинальную маркировку (в случае, если это предусмотрено изготовителем для поставляемого </w:t>
      </w:r>
      <w:r>
        <w:rPr/>
        <w:t>Товара</w:t>
      </w:r>
      <w:r>
        <w:rPr>
          <w:color w:val="1A1A1A"/>
          <w:sz w:val="24"/>
          <w:szCs w:val="24"/>
        </w:rPr>
        <w:t xml:space="preserve">) и обеспечивающую сохранность </w:t>
      </w:r>
      <w:r>
        <w:rPr>
          <w:sz w:val="24"/>
          <w:szCs w:val="24"/>
        </w:rPr>
        <w:t>Товара</w:t>
      </w:r>
      <w:r>
        <w:rPr>
          <w:color w:val="1A1A1A"/>
          <w:sz w:val="24"/>
          <w:szCs w:val="24"/>
        </w:rPr>
        <w:t xml:space="preserve"> при перевозке и хранении, иметь год изготовления не ранее 2025 года. Каждая единица </w:t>
      </w:r>
      <w:r>
        <w:rPr>
          <w:sz w:val="24"/>
          <w:szCs w:val="24"/>
        </w:rPr>
        <w:t>Товара</w:t>
      </w:r>
      <w:r>
        <w:rPr>
          <w:color w:val="1A1A1A"/>
          <w:sz w:val="24"/>
          <w:szCs w:val="24"/>
        </w:rPr>
        <w:t xml:space="preserve"> должна сопровождаться технической документацией на русском языке. В составе поставляемого </w:t>
      </w:r>
      <w:r>
        <w:rPr>
          <w:sz w:val="24"/>
          <w:szCs w:val="24"/>
        </w:rPr>
        <w:t>Товара</w:t>
      </w:r>
      <w:r>
        <w:rPr>
          <w:color w:val="1A1A1A"/>
          <w:sz w:val="24"/>
          <w:szCs w:val="24"/>
        </w:rPr>
        <w:t xml:space="preserve"> должен быть гарантийный талон с указанием условий гарантийного обслуживания и номера контактного телефона.  </w:t>
      </w:r>
    </w:p>
    <w:p>
      <w:pPr>
        <w:pStyle w:val="Normal"/>
        <w:shd w:val="clear" w:color="auto" w:fill="FFFFFF"/>
        <w:suppressAutoHyphens w:val="false"/>
        <w:spacing w:before="0" w:after="113"/>
        <w:ind w:firstLine="720"/>
        <w:jc w:val="both"/>
        <w:rPr/>
      </w:pPr>
      <w:r>
        <w:rPr>
          <w:color w:val="1A1A1A"/>
          <w:sz w:val="24"/>
          <w:szCs w:val="24"/>
        </w:rPr>
        <w:t xml:space="preserve">Поставляемые средства измерений, входящие в состав хроматографического комплекса должны иметь отметку о поверке со сроком действия не менее 2/3 поверочного интервала. Для каждой единицы </w:t>
      </w:r>
      <w:r>
        <w:rPr>
          <w:sz w:val="24"/>
          <w:szCs w:val="24"/>
        </w:rPr>
        <w:t>Товара</w:t>
      </w:r>
      <w:r>
        <w:rPr>
          <w:color w:val="1A1A1A"/>
          <w:sz w:val="24"/>
          <w:szCs w:val="24"/>
        </w:rPr>
        <w:t xml:space="preserve"> (хроматограф, программное обеспечение, хроматографические колонки и др.) должны быть указаны фирма-производитель, марка </w:t>
      </w:r>
      <w:r>
        <w:rPr>
          <w:sz w:val="24"/>
          <w:szCs w:val="24"/>
        </w:rPr>
        <w:t>Товара</w:t>
      </w:r>
      <w:r>
        <w:rPr>
          <w:color w:val="1A1A1A"/>
          <w:sz w:val="24"/>
          <w:szCs w:val="24"/>
        </w:rPr>
        <w:t xml:space="preserve">, номер каталога. </w:t>
      </w:r>
    </w:p>
    <w:p>
      <w:pPr>
        <w:pStyle w:val="Normal"/>
        <w:shd w:val="clear" w:color="auto" w:fill="FFFFFF"/>
        <w:suppressAutoHyphens w:val="false"/>
        <w:ind w:firstLine="720"/>
        <w:jc w:val="both"/>
        <w:rPr/>
      </w:pPr>
      <w:r>
        <w:rPr>
          <w:rFonts w:eastAsia="Calibri"/>
          <w:bCs/>
          <w:color w:val="1A1A1A"/>
          <w:sz w:val="24"/>
          <w:szCs w:val="24"/>
          <w:lang w:eastAsia="en-US"/>
        </w:rPr>
        <w:t xml:space="preserve">При передаче </w:t>
      </w:r>
      <w:r>
        <w:rPr>
          <w:sz w:val="24"/>
          <w:szCs w:val="24"/>
        </w:rPr>
        <w:t>Товара</w:t>
      </w:r>
      <w:r>
        <w:rPr>
          <w:rFonts w:eastAsia="Calibri"/>
          <w:bCs/>
          <w:color w:val="1A1A1A"/>
          <w:sz w:val="24"/>
          <w:szCs w:val="24"/>
          <w:lang w:eastAsia="en-US"/>
        </w:rPr>
        <w:t xml:space="preserve"> Покупателю Поставщик обязан передать следующие документы: сопроводительная документация, сертификат соответствия, свидетельство (</w:t>
      </w:r>
      <w:r>
        <w:rPr>
          <w:bCs/>
          <w:color w:val="1A1A1A"/>
          <w:sz w:val="24"/>
          <w:szCs w:val="24"/>
        </w:rPr>
        <w:t xml:space="preserve">сертификат) о внесении в реестр единиц измерений РФ, </w:t>
      </w:r>
      <w:r>
        <w:rPr>
          <w:rFonts w:eastAsia="Calibri"/>
          <w:bCs/>
          <w:color w:val="1A1A1A"/>
          <w:sz w:val="24"/>
          <w:szCs w:val="24"/>
          <w:lang w:eastAsia="en-US"/>
        </w:rPr>
        <w:t xml:space="preserve">свидетельство о первичной поверке, оформленное в соответствии с Письмом Ростехрегулирования № ВК-101-32/3110 от 25.06.2007, паспорта на </w:t>
      </w:r>
      <w:r>
        <w:rPr>
          <w:sz w:val="24"/>
          <w:szCs w:val="24"/>
        </w:rPr>
        <w:t>Товар</w:t>
      </w:r>
      <w:r>
        <w:rPr>
          <w:rFonts w:eastAsia="Calibri"/>
          <w:bCs/>
          <w:color w:val="1A1A1A"/>
          <w:sz w:val="24"/>
          <w:szCs w:val="24"/>
          <w:lang w:eastAsia="en-US"/>
        </w:rPr>
        <w:t xml:space="preserve"> и комплектующие, методику поверки, руководства по эксплуатации, паспорт и руководство пользователя на программное обеспечение, инструкцию по обслуживанию, ремонту и эксплуатации прибора на русском языке.</w:t>
      </w:r>
      <w:r>
        <w:rPr>
          <w:bCs/>
          <w:color w:val="1A1A1A"/>
          <w:sz w:val="24"/>
          <w:szCs w:val="24"/>
        </w:rPr>
        <w:t xml:space="preserve"> 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>
      <w:pPr>
        <w:pStyle w:val="Heading4"/>
        <w:numPr>
          <w:ilvl w:val="1"/>
          <w:numId w:val="3"/>
        </w:numPr>
        <w:rPr/>
      </w:pPr>
      <w:bookmarkStart w:id="18" w:name="__RefHeading___Toc1439180_3604399662"/>
      <w:bookmarkStart w:id="19" w:name="_Toc75446572"/>
      <w:bookmarkEnd w:id="18"/>
      <w:r>
        <w:rPr/>
        <w:t>Иные требования и сведения общего характера</w:t>
      </w:r>
      <w:r>
        <w:rPr>
          <w:lang w:val="ru-RU"/>
        </w:rPr>
        <w:t xml:space="preserve"> </w:t>
      </w:r>
      <w:bookmarkEnd w:id="19"/>
      <w:r>
        <w:rPr>
          <w:rStyle w:val="Style8"/>
          <w:b/>
          <w:lang w:val="ru-RU"/>
        </w:rPr>
        <w:t xml:space="preserve"> </w:t>
      </w:r>
    </w:p>
    <w:p>
      <w:pPr>
        <w:pStyle w:val="Style36"/>
        <w:spacing w:before="0" w:after="283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ab/>
      </w:r>
      <w:r>
        <w:rPr>
          <w:rStyle w:val="Style8"/>
          <w:b w:val="false"/>
          <w:bCs/>
          <w:i w:val="false"/>
          <w:color w:val="1A1A1A"/>
          <w:sz w:val="24"/>
          <w:szCs w:val="24"/>
          <w:shd w:fill="auto" w:val="clear"/>
        </w:rPr>
        <w:t xml:space="preserve"> В стоимости поставки 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хроматографа Участнику необходимо учесть затраты на установку и запуск со стороны Поставщика, ознакомление с работой Товара и программного обеспечения, обучение персонала Покупателя, выполнение пробного анализа на территории Покупателя.</w:t>
      </w:r>
    </w:p>
    <w:p>
      <w:pPr>
        <w:pStyle w:val="Heading1"/>
        <w:numPr>
          <w:ilvl w:val="0"/>
          <w:numId w:val="3"/>
        </w:numPr>
        <w:jc w:val="left"/>
        <w:rPr/>
      </w:pPr>
      <w:bookmarkStart w:id="20" w:name="__RefHeading___Toc1439182_3604399662"/>
      <w:bookmarkEnd w:id="20"/>
      <w:r>
        <w:rPr/>
        <w:t xml:space="preserve"> </w:t>
      </w:r>
      <w:bookmarkStart w:id="21" w:name="_Toc51339693"/>
      <w:bookmarkStart w:id="22" w:name="_Toc75446573"/>
      <w:r>
        <w:rPr/>
        <w:t xml:space="preserve">Требования к </w:t>
      </w:r>
      <w:bookmarkEnd w:id="21"/>
      <w:bookmarkEnd w:id="22"/>
      <w:r>
        <w:rPr>
          <w:lang w:val="en-US"/>
        </w:rPr>
        <w:t>Товару</w:t>
      </w:r>
    </w:p>
    <w:p>
      <w:pPr>
        <w:pStyle w:val="Heading4"/>
        <w:numPr>
          <w:ilvl w:val="1"/>
          <w:numId w:val="3"/>
        </w:numPr>
        <w:rPr/>
      </w:pPr>
      <w:bookmarkStart w:id="23" w:name="__RefHeading___Toc1439184_3604399662"/>
      <w:bookmarkStart w:id="24" w:name="_Toc75446574"/>
      <w:bookmarkEnd w:id="2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4"/>
    </w:p>
    <w:p>
      <w:pPr>
        <w:pStyle w:val="Heading3"/>
        <w:numPr>
          <w:ilvl w:val="2"/>
          <w:numId w:val="3"/>
        </w:numPr>
        <w:rPr/>
      </w:pPr>
      <w:bookmarkStart w:id="25" w:name="__RefHeading___Toc1439186_3604399662"/>
      <w:bookmarkStart w:id="26" w:name="_Toc75446575"/>
      <w:bookmarkEnd w:id="25"/>
      <w:r>
        <w:rPr/>
        <w:t xml:space="preserve">Перечень и объем закупаемого </w:t>
      </w:r>
      <w:bookmarkEnd w:id="26"/>
      <w:r>
        <w:rPr>
          <w:lang w:val="en-US"/>
        </w:rPr>
        <w:t>Товара</w:t>
      </w:r>
    </w:p>
    <w:p>
      <w:pPr>
        <w:pStyle w:val="Heading1"/>
        <w:rPr>
          <w:lang w:val="ru-RU"/>
        </w:rPr>
      </w:pPr>
      <w:bookmarkStart w:id="27" w:name="__RefHeading___Toc1439188_3604399662"/>
      <w:bookmarkStart w:id="28" w:name="_Toc75446576"/>
      <w:bookmarkStart w:id="29" w:name="_Toc51339695"/>
      <w:bookmarkEnd w:id="27"/>
      <w:r>
        <w:rPr/>
        <w:t xml:space="preserve">Таблица 1.1 Перечень </w:t>
      </w:r>
      <w:bookmarkEnd w:id="29"/>
      <w:r>
        <w:rPr/>
        <w:t xml:space="preserve">и объем закупаемого </w:t>
      </w:r>
      <w:bookmarkEnd w:id="28"/>
      <w:r>
        <w:rPr>
          <w:lang w:val="ru-RU"/>
        </w:rPr>
        <w:t>Товара</w:t>
      </w:r>
    </w:p>
    <w:tbl>
      <w:tblPr>
        <w:tblW w:w="10035" w:type="dxa"/>
        <w:jc w:val="left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66"/>
        <w:gridCol w:w="3357"/>
        <w:gridCol w:w="2930"/>
        <w:gridCol w:w="1617"/>
        <w:gridCol w:w="1365"/>
      </w:tblGrid>
      <w:tr>
        <w:trPr>
          <w:trHeight w:val="311" w:hRule="atLeast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  <w:lang w:val="en-US"/>
              </w:rPr>
              <w:t>Товара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Тип, марка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>
          <w:trHeight w:val="253" w:hRule="atLeast"/>
        </w:trPr>
        <w:tc>
          <w:tcPr>
            <w:tcW w:w="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Газовый хроматограф</w:t>
            </w:r>
          </w:p>
          <w:p>
            <w:pPr>
              <w:pStyle w:val="Style36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комплекте с ЗИП)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76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«Хроматек-Кристалл 5000.2» или </w:t>
            </w:r>
            <w:r>
              <w:rPr>
                <w:color w:val="000000"/>
                <w:sz w:val="22"/>
                <w:szCs w:val="22"/>
                <w:lang w:val="en-US"/>
              </w:rPr>
              <w:t>эквивалент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Heading1"/>
        <w:rPr>
          <w:lang w:val="en-US"/>
        </w:rPr>
      </w:pPr>
      <w:bookmarkStart w:id="30" w:name="__RefHeading___Toc1439188_36043996621"/>
      <w:bookmarkEnd w:id="30"/>
      <w:r>
        <w:rPr/>
        <w:t xml:space="preserve">Таблица </w:t>
      </w:r>
      <w:r>
        <w:rPr>
          <w:lang w:val="ru-RU"/>
        </w:rPr>
        <w:t>1.2</w:t>
      </w:r>
      <w:r>
        <w:rPr/>
        <w:t xml:space="preserve">  Технические характеристики поставляемого </w:t>
      </w:r>
      <w:r>
        <w:rPr>
          <w:lang w:val="en-US"/>
        </w:rPr>
        <w:t>Товара</w:t>
      </w:r>
    </w:p>
    <w:p>
      <w:pPr>
        <w:pStyle w:val="Normal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1020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714"/>
        <w:gridCol w:w="2168"/>
        <w:gridCol w:w="1988"/>
        <w:gridCol w:w="5329"/>
      </w:tblGrid>
      <w:tr>
        <w:trPr/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color w:val="000000"/>
                <w:sz w:val="22"/>
                <w:szCs w:val="22"/>
              </w:rPr>
              <w:t>п.п.</w:t>
            </w:r>
          </w:p>
        </w:tc>
        <w:tc>
          <w:tcPr>
            <w:tcW w:w="4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Параметр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Значение</w:t>
            </w:r>
          </w:p>
        </w:tc>
      </w:tr>
      <w:tr>
        <w:trPr/>
        <w:tc>
          <w:tcPr>
            <w:tcW w:w="101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uto" w:line="2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Газовый хроматограф «Хроматек-Кристалл 5000.2» </w:t>
            </w:r>
            <w:r>
              <w:rPr>
                <w:color w:val="000000"/>
                <w:sz w:val="22"/>
                <w:szCs w:val="22"/>
              </w:rPr>
              <w:t>или эквивалент</w:t>
            </w:r>
          </w:p>
        </w:tc>
      </w:tr>
      <w:tr>
        <w:trPr/>
        <w:tc>
          <w:tcPr>
            <w:tcW w:w="101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Общие характеристики</w:t>
            </w:r>
          </w:p>
        </w:tc>
      </w:tr>
      <w:tr>
        <w:trPr/>
        <w:tc>
          <w:tcPr>
            <w:tcW w:w="7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Габариты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 х 540 х 590 мм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кг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Потребляемая мощность пиковая (в режиме разогрева)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 Вт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Потребляемая мощность в установившемся режиме (без ПК)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 Вт</w:t>
            </w:r>
          </w:p>
        </w:tc>
      </w:tr>
      <w:tr>
        <w:trPr/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4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Термостат колонок</w:t>
            </w:r>
          </w:p>
        </w:tc>
      </w:tr>
      <w:tr>
        <w:trPr/>
        <w:tc>
          <w:tcPr>
            <w:tcW w:w="7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 х 290 х 240 мм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Рабочая температура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устройства охлаждения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T окружающей среды +4 °С до 450 °С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6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комплектовании системой захолаживания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минус 10 °С до 450 °С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6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комплектовании устройством криогенного охлаждения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минус 100 °С до 450 °С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Скорость программирования нагрева (по линейному закону)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0,1 до 125 °С/мин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охлаждения (при температуре окружающей среды 22 °С)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400 до 50 °С за 5 мин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4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Электронные регуляторы расхода и давления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Входное давление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0,36 до 1,25 МПа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каналов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18-ти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 газа-носителя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5 до 500 мл/мин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 водорода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5 до 500 мл/мин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 воздуха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5 до 800 мл/мин</w:t>
            </w:r>
          </w:p>
        </w:tc>
      </w:tr>
      <w:tr>
        <w:trPr/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94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Детекторы</w:t>
            </w:r>
          </w:p>
        </w:tc>
      </w:tr>
      <w:tr>
        <w:trPr/>
        <w:tc>
          <w:tcPr>
            <w:tcW w:w="7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детекторов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4-х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Типы детекторов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ДТП, ПИД, ТИД, ЭЗД, ПФД, ФИД, ДТХ, МСД, ПРД, ППФД, ХЛД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Максимальная температура термостатирования детекторов (встроенных)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450 °C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Частота опроса сигналов детекторов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10 до 300 Гц</w:t>
            </w:r>
          </w:p>
        </w:tc>
      </w:tr>
      <w:tr>
        <w:trPr/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94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Испарители</w:t>
            </w:r>
          </w:p>
        </w:tc>
      </w:tr>
      <w:tr>
        <w:trPr/>
        <w:tc>
          <w:tcPr>
            <w:tcW w:w="7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испарителей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3-х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Типы испарителей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Насадочный и </w:t>
              <w:br/>
              <w:t>капиллярный</w:t>
              <w:br/>
              <w:t>программируемый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Режимы работы испарителей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делением потока (split);</w:t>
              <w:br/>
              <w:t>без деления потока (splitless);</w:t>
              <w:br/>
              <w:t>Прямой ввод в колонку (on-column) - для программируемого испарителя;</w:t>
              <w:br/>
              <w:t>ввод больших объемов с отдувкой растворителя (large volume injection) - для программируемого испарителя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Максимальная температура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 °С</w:t>
            </w:r>
          </w:p>
        </w:tc>
      </w:tr>
      <w:tr>
        <w:trPr/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94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Краны</w:t>
            </w:r>
          </w:p>
        </w:tc>
      </w:tr>
      <w:tr>
        <w:trPr/>
        <w:tc>
          <w:tcPr>
            <w:tcW w:w="7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Модификации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4-, 6-, 10-портовые поворотные;</w:t>
              <w:br/>
              <w:t>ручн</w:t>
            </w:r>
            <w:r>
              <w:rPr>
                <w:color w:val="000000"/>
                <w:sz w:val="22"/>
                <w:szCs w:val="22"/>
              </w:rPr>
              <w:t>ые или автоматические</w:t>
              <w:br/>
              <w:t>термостатируемые или необогреваемые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Автоматические краны, управляемые электроприводом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6-ти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Максимальная температура термостатирования кранов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серийное исполнение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150 °С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6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специальное высокотемпературное исполнение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250 °С</w:t>
            </w:r>
          </w:p>
        </w:tc>
      </w:tr>
      <w:tr>
        <w:trPr/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94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Передача данных</w:t>
            </w:r>
          </w:p>
        </w:tc>
      </w:tr>
      <w:tr>
        <w:trPr/>
        <w:tc>
          <w:tcPr>
            <w:tcW w:w="7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Интерфейс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Ethernet ;</w:t>
              <w:br/>
              <w:t>USB;</w:t>
              <w:br/>
            </w:r>
            <w:r>
              <w:rPr>
                <w:sz w:val="22"/>
                <w:szCs w:val="22"/>
              </w:rPr>
              <w:t>RS-232</w:t>
            </w:r>
          </w:p>
        </w:tc>
      </w:tr>
      <w:tr>
        <w:trPr/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Аналоговый выход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pacing w:lineRule="atLeast" w:line="2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программируемым электронным аттенюатором (выходной сигнал 0..10 мВ)</w:t>
            </w:r>
          </w:p>
        </w:tc>
      </w:tr>
    </w:tbl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31" w:name="_Toc75446578"/>
      <w:bookmarkStart w:id="32" w:name="_Toc51339696"/>
      <w:r>
        <w:rPr/>
        <w:t xml:space="preserve">Требования </w:t>
      </w:r>
      <w:bookmarkEnd w:id="32"/>
      <w:r>
        <w:rPr/>
        <w:t xml:space="preserve">к срокам поставки </w:t>
      </w:r>
      <w:r>
        <w:rPr>
          <w:lang w:val="ru-RU"/>
        </w:rPr>
        <w:t>Товара</w:t>
      </w:r>
      <w:r>
        <w:rPr/>
        <w:t xml:space="preserve"> и оказания сопутствующих услуг</w:t>
      </w:r>
      <w:bookmarkEnd w:id="31"/>
    </w:p>
    <w:p>
      <w:pPr>
        <w:pStyle w:val="Heading3"/>
        <w:rPr/>
      </w:pPr>
      <w:r>
        <w:rPr/>
        <w:t xml:space="preserve">   </w:t>
      </w:r>
      <w:bookmarkStart w:id="33" w:name="_Toc75446579"/>
      <w:bookmarkStart w:id="34" w:name="_Toc51339697"/>
      <w:bookmarkStart w:id="35" w:name="_Toc50125127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1</w:t>
      </w:r>
      <w:r>
        <w:rPr/>
        <w:t xml:space="preserve"> </w:t>
      </w:r>
      <w:bookmarkStart w:id="36" w:name="_Hlk50465284"/>
      <w:r>
        <w:rPr/>
        <w:t xml:space="preserve">Требования по срокам </w:t>
      </w:r>
      <w:bookmarkEnd w:id="34"/>
      <w:bookmarkEnd w:id="35"/>
      <w:bookmarkEnd w:id="36"/>
      <w:r>
        <w:rPr>
          <w:lang w:val="ru-RU"/>
        </w:rPr>
        <w:t xml:space="preserve">поставки </w:t>
      </w:r>
      <w:bookmarkEnd w:id="33"/>
      <w:r>
        <w:rPr>
          <w:lang w:val="ru-RU"/>
        </w:rPr>
        <w:t xml:space="preserve">Товара </w:t>
      </w:r>
    </w:p>
    <w:tbl>
      <w:tblPr>
        <w:tblW w:w="9809" w:type="dxa"/>
        <w:jc w:val="left"/>
        <w:tblInd w:w="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6"/>
        <w:gridCol w:w="2961"/>
        <w:gridCol w:w="2977"/>
        <w:gridCol w:w="3254"/>
      </w:tblGrid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t>Товара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Товара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Товара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i w:val="false"/>
                <w:color w:val="000000"/>
                <w:sz w:val="24"/>
                <w:szCs w:val="24"/>
                <w:shd w:fill="auto" w:val="clear"/>
                <w:lang w:val="x-none" w:eastAsia="x-none"/>
              </w:rPr>
              <w:t>Постав</w:t>
            </w:r>
            <w:r>
              <w:rPr>
                <w:rStyle w:val="Style8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ка  газового хроматографа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851" w:leader="none"/>
              </w:tabs>
              <w:spacing w:before="0" w:after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Начало поставки - с даты заключения договора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851" w:leader="none"/>
              </w:tabs>
              <w:spacing w:lineRule="atLeast" w:line="311" w:before="0" w:after="120"/>
              <w:jc w:val="center"/>
              <w:rPr/>
            </w:pPr>
            <w:r>
              <w:rPr>
                <w:bCs/>
                <w:sz w:val="24"/>
                <w:szCs w:val="24"/>
              </w:rPr>
              <w:t>Окончание поставки – 25.12.2026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251"/>
          <w:pgNumType w:fmt="decimal"/>
          <w:formProt w:val="false"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rPr/>
      </w:pPr>
      <w:bookmarkStart w:id="37" w:name="__RefHeading___Toc1439196_3604399662"/>
      <w:bookmarkStart w:id="38" w:name="_Toc51339698"/>
      <w:bookmarkStart w:id="39" w:name="_Toc75446581"/>
      <w:bookmarkStart w:id="40" w:name="_Toc46743511"/>
      <w:bookmarkStart w:id="41" w:name="_Toc754465801"/>
      <w:bookmarkEnd w:id="37"/>
      <w:bookmarkEnd w:id="41"/>
      <w:r>
        <w:rPr/>
        <w:t xml:space="preserve">Требования к </w:t>
      </w:r>
      <w:bookmarkEnd w:id="40"/>
      <w:r>
        <w:rPr/>
        <w:t xml:space="preserve">качеству </w:t>
      </w:r>
      <w:bookmarkStart w:id="42" w:name="__RefHeading___Toc1439198_3604399662"/>
      <w:bookmarkEnd w:id="39"/>
      <w:bookmarkEnd w:id="42"/>
      <w:r>
        <w:rPr>
          <w:lang w:val="en-US"/>
        </w:rPr>
        <w:t>Товара</w:t>
      </w:r>
      <w:r>
        <w:rPr/>
        <w:t xml:space="preserve"> </w:t>
      </w:r>
      <w:bookmarkStart w:id="43" w:name="_Toc75446582"/>
    </w:p>
    <w:p>
      <w:pPr>
        <w:pStyle w:val="Heading1"/>
        <w:numPr>
          <w:ilvl w:val="1"/>
          <w:numId w:val="3"/>
        </w:numPr>
        <w:rPr/>
      </w:pPr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bookmarkEnd w:id="43"/>
      <w:r>
        <w:rPr>
          <w:lang w:val="en-US"/>
        </w:rPr>
        <w:t>Товару</w:t>
      </w:r>
      <w:r>
        <w:rPr/>
        <w:t xml:space="preserve"> </w:t>
      </w:r>
      <w:bookmarkEnd w:id="38"/>
      <w:r>
        <w:rPr>
          <w:rStyle w:val="Style8"/>
          <w:b/>
        </w:rPr>
        <w:t xml:space="preserve"> </w:t>
      </w:r>
    </w:p>
    <w:p>
      <w:pPr>
        <w:pStyle w:val="BodyText"/>
        <w:rPr/>
      </w:pPr>
      <w:r>
        <w:rPr>
          <w:b/>
          <w:bCs/>
          <w:i/>
          <w:iCs/>
          <w:sz w:val="24"/>
          <w:szCs w:val="24"/>
        </w:rPr>
        <w:t>Наименование Товара:</w:t>
      </w:r>
      <w:r>
        <w:rPr>
          <w:sz w:val="24"/>
          <w:szCs w:val="24"/>
        </w:rPr>
        <w:t xml:space="preserve"> «ОКПД2 26.51.53.140 Поставка газового хроматографа  в рамках выполнения инвестиционного проекта Т-1190-00075 Филиала ПАО "РусГидро"-"Карачаево-Черкесский филиал"</w:t>
      </w:r>
      <w:r>
        <w:rPr>
          <w:rStyle w:val="Style8"/>
          <w:rFonts w:eastAsia="Calibri"/>
          <w:b w:val="false"/>
          <w:i w:val="false"/>
          <w:color w:val="000000"/>
          <w:sz w:val="24"/>
          <w:szCs w:val="24"/>
          <w:shd w:fill="auto" w:val="clear"/>
          <w:lang w:val="x-none" w:eastAsia="x-none"/>
        </w:rPr>
        <w:t>»</w:t>
      </w:r>
    </w:p>
    <w:tbl>
      <w:tblPr>
        <w:tblW w:w="15075" w:type="dxa"/>
        <w:jc w:val="left"/>
        <w:tblInd w:w="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75"/>
        <w:gridCol w:w="3176"/>
        <w:gridCol w:w="4422"/>
        <w:gridCol w:w="2092"/>
        <w:gridCol w:w="2278"/>
        <w:gridCol w:w="2431"/>
      </w:tblGrid>
      <w:tr>
        <w:trPr/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Требование </w:t>
            </w:r>
            <w:r>
              <w:rPr>
                <w:b/>
                <w:bCs/>
                <w:sz w:val="22"/>
                <w:szCs w:val="22"/>
                <w:lang w:val="en-US"/>
              </w:rPr>
              <w:t>Покупателя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7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-//-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7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5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Требования к техническим и функциональным характеристикам в отношении каждой позиции Товара представлены в Таблице 1.2  настоящих Технических требований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4"/>
              </w:rPr>
            </w:pPr>
            <w:r>
              <w:rPr>
                <w:i/>
                <w:iCs/>
                <w:sz w:val="22"/>
                <w:szCs w:val="24"/>
              </w:rPr>
              <w:t>Указание характеристик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5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Связь хроматографа  с компьютером по интерфейсам  Ethernet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5"/>
              <w:jc w:val="center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требованиями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5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Автоматическое включение режима «Охлаждение» для защиты колонок при прекращении подачи газа-носителя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5"/>
              <w:jc w:val="center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требованиями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5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Одновременная установка и работа четырех детекторов (ДТП-ДТП-ПИД-ПИД) , испарителя насадочного и испарителя капиллярного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5"/>
              <w:jc w:val="center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требованиями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7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Климатическое исполнение поставляемого </w:t>
            </w:r>
            <w:r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Товара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Климатическое исполнение — УХЛ категории 4.2 по 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(с Изменениями № 1, 2, 3, 4, 5).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требованиями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7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Место поставки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Товар должен быть доставлен Поставщиком по адресу: 369244, Карачаево-Черкесская Республика,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Карачаевский р-н, пос. Правокубанский, Зеленчукская ГЭС-ГАЭС.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требованиями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false"/>
                <w:i/>
                <w:iCs/>
                <w:sz w:val="22"/>
                <w:szCs w:val="22"/>
                <w:lang w:val="ru-RU" w:eastAsia="ru-RU"/>
              </w:rPr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Упаковка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32" w:leader="none"/>
                <w:tab w:val="left" w:pos="459" w:leader="none"/>
              </w:tabs>
              <w:ind w:left="34" w:hanging="0"/>
              <w:rPr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Упаковка должна быть целостной, обеспечивающей сохранность Товара при перевозке с учетом возможных перегрузок, складирования и  способов транспортировки, а также предохраняющей Товар от атмосферных воздействий.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требованиями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62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7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6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эксплуатации, обеспечению и утилизации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Срок эксплуатации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 момент поставки Товара срок его  годности должен составлять не менее 90% от срока, установленного заводом изготовителем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Согласен с требованиями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7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Срок гарантии </w:t>
            </w:r>
            <w:r>
              <w:rPr>
                <w:i/>
                <w:iCs/>
                <w:sz w:val="22"/>
                <w:szCs w:val="22"/>
                <w:lang w:val="en-US"/>
              </w:rPr>
              <w:t>П</w:t>
            </w:r>
            <w:r>
              <w:rPr>
                <w:i/>
                <w:iCs/>
                <w:sz w:val="22"/>
                <w:szCs w:val="22"/>
              </w:rPr>
              <w:t>оставщика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Срок гарантии на Товар должен составлять не менее 12 месяцев с даты ввода оборудования в эксплуатацию (подписания накладной ТОРГ-12)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Согласен с требованиями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40" w:after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7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Вместе с Товаром, должны передаваться относящиеся к нему ЗИП и комплектующие,  оформленные надлежащим образом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Хроматограф ''Хроматэк - Кристалл 5000''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исп.2 (11) или эквивалент — 1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Детектор ДТП</w:t>
            </w:r>
            <w:r>
              <w:rPr>
                <w:i/>
                <w:iCs/>
                <w:sz w:val="22"/>
                <w:szCs w:val="22"/>
                <w:shd w:fill="FFFFFF" w:val="clear"/>
              </w:rPr>
              <w:t xml:space="preserve"> -2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Детектор ПИД</w:t>
            </w:r>
            <w:r>
              <w:rPr>
                <w:i/>
                <w:iCs/>
                <w:sz w:val="22"/>
                <w:szCs w:val="22"/>
                <w:shd w:fill="FFFFFF" w:val="clear"/>
              </w:rPr>
              <w:t xml:space="preserve"> -2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Испаритель капиллярный-1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Испаритель насадочный-1 шт;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Кран 10-ти портовый (ручной, термостатируемый, с продуваемой оболочкой Кат.№ КрД10.2-16(1.1).52.РТ-по или эквивалент </w:t>
            </w:r>
            <w:r>
              <w:rPr>
                <w:i/>
                <w:iCs/>
                <w:sz w:val="22"/>
                <w:szCs w:val="22"/>
                <w:shd w:fill="FFFFFF" w:val="clear"/>
              </w:rPr>
              <w:t>-1 шт.;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shd w:fill="FFFFFF" w:val="clear"/>
              </w:rPr>
              <w:t>- Кран 6-ти портовый (ручной) Кат.№ КрП6.2-16(1.1).</w:t>
            </w:r>
            <w:r>
              <w:rPr>
                <w:i/>
                <w:iCs/>
                <w:color w:val="000000"/>
                <w:sz w:val="22"/>
                <w:szCs w:val="22"/>
                <w:shd w:fill="FFFFFF" w:val="clear"/>
              </w:rPr>
              <w:t>52.РН-1  или эквивалент -1 шт.;</w:t>
            </w:r>
          </w:p>
          <w:p>
            <w:pPr>
              <w:pStyle w:val="Normal"/>
              <w:widowControl w:val="false"/>
              <w:ind w:left="-48" w:hanging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Монитор ЖК 23,8'' -1 шт;</w:t>
            </w:r>
          </w:p>
          <w:p>
            <w:pPr>
              <w:pStyle w:val="Normal"/>
              <w:widowControl w:val="false"/>
              <w:ind w:left="-48" w:hanging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Персональный компьютер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 операционной системой и лазерным принтером -1 шт;</w:t>
            </w:r>
          </w:p>
          <w:p>
            <w:pPr>
              <w:pStyle w:val="Normal"/>
              <w:widowControl w:val="false"/>
              <w:ind w:left="-48" w:hanging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Колонка М ss316 2м*2мм, Hayesep Q 80/100меш  или эквивалент 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Колонка М ss316 2м*3мм, СаА 0,2-0,4 мм или эквивалент 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Колонка М ss316 3м*2мм, Hayesep N 80/100меш или эквивалент-1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Колонка СR-WAX 30 м*0,32мм*0,5мкм или эквивалент 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Программное обеспечение ''Хроматэк Аналитик'' (для  управления хроматографом)  или эквивалент-1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Блок фильтров 214.5.884.012 ( три канала газа с адсорбционными регенерируемыми фильтрами и стабилизирующими регуляторами давления) или эквивалент  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Генератор водорода 10.600 или эквивалент -1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Компрессор 180.200 или эквивалент 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Устройство водоочистки (деионизатор воды)   — 1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Устройство для достижения равновесия 214.4.464.016 или эквивалент  - 2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Клапан 214.5.890.043-03 или эквивалент 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Клапан для заполнения шприцев газом-носителем на кронштейне или эквивалент 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Метанатор-1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Сульфинертные линии по 1 каналу ГХ-1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Программа обработки «Хроматэк Энергетик» или эквивалент;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Комплект арматуры газовой 214.4.078.000 или эквивалент - 2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Фильтр 20.0-03 (комбинированный) или эквивалент -1шт;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Адаптер для отбора проб масла 214.5.889.007  или эквивалент   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Визуальный индикатор потока газа 214.5.886.065 или эквивалент  -1 шт;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Доза 1мл, Кат.№ Дз1к(1.16.1) или эквивалент 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Доза 1мл, Кат.№ Дз1к(fsl.16.1) или эквивалент-1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Заглушка 214.8.632.074 или эквивалент-16 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Комплект коммутационный  214.4.069.007 (8 портов) или эквивалент - 1 компл.;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Контейнер для переноски шприцев 214.4.056.001 или эквивалент -2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Лайнер 214.6.236.222 (для ввода проб масла) или эквивалент — 5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Мембрана 214.7.010.019-01( 3х11 мм, 50 шт/уп) или эквивалент -1 уп.;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Пневмосопротивление регулируемое 214.5.150.019 или эквивалент -2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Сорбент Цеолит СаА 0,2-0,4 мм -15 г.;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Тройник 214.6.453.157-01 исполнение с дезактивированными поверхностями ( для колонок с </w:t>
            </w:r>
            <w:r>
              <w:rPr>
                <w:i/>
                <w:iCs/>
                <w:sz w:val="22"/>
                <w:szCs w:val="22"/>
                <w:lang w:val="en-US"/>
              </w:rPr>
              <w:t>i</w:t>
            </w:r>
            <w:r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d</w:t>
            </w:r>
            <w:r>
              <w:rPr>
                <w:i/>
                <w:iCs/>
                <w:sz w:val="22"/>
                <w:szCs w:val="22"/>
              </w:rPr>
              <w:t xml:space="preserve"> 0.32 мм и менее, муфты графит) или эквивалент-1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Шприц 214.4.056.011 или эквивалент ( объем 20 мл с металлическим поршнем для трансформаторного масла) - 16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Аттестованная газовая смесь  (двуокись углерода, окись углерода, азот, кислород, метан, этан, этилен, ацетилен, водород в аргоне) -2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Комплект градуировочных растворов ионола в трансформаторном масле ( 3 раствора по 25 мл: 0,1; 0,2; 0,3 %) ГСО12098-2022 — 1 компл.;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Комплект растворов 4-х фурановых соединений (FAL, FOL, MEF, ACF- 2 флакона по 50 мл), ГСО 12232-2023-1 компл.;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Контейнер</w:t>
            </w:r>
            <w:r>
              <w:rPr>
                <w:i/>
                <w:iCs/>
                <w:sz w:val="22"/>
                <w:szCs w:val="22"/>
                <w:shd w:fill="auto" w:val="clear"/>
              </w:rPr>
              <w:t xml:space="preserve"> для переноски пробоотборников Elchrom или эквивалент (вместимость 10 х 20 мл) — 2 шт.;</w:t>
            </w:r>
          </w:p>
          <w:p>
            <w:pPr>
              <w:pStyle w:val="Normal"/>
              <w:widowControl w:val="false"/>
              <w:ind w:left="-48" w:hanging="0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2"/>
                <w:szCs w:val="22"/>
                <w:shd w:fill="auto" w:val="clear"/>
              </w:rPr>
              <w:t>- Контрольный (тестовый) раствор ионола в этаноле (1 г/л)-1 шт.;</w:t>
            </w:r>
          </w:p>
          <w:p>
            <w:pPr>
              <w:pStyle w:val="Normal"/>
              <w:widowControl w:val="false"/>
              <w:ind w:left="-48" w:hanging="0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2"/>
                <w:szCs w:val="22"/>
                <w:shd w:fill="auto" w:val="clear"/>
              </w:rPr>
              <w:t>- Контрольный (тестовый) раствор фурановых соединений ( 50 мг/л)-1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shd w:fill="auto" w:val="clear"/>
              </w:rPr>
              <w:t>- Пробоотборник трансформаторного масла (Elchrom GS, 20 мл, с гер</w:t>
            </w:r>
            <w:r>
              <w:rPr>
                <w:i/>
                <w:iCs/>
                <w:sz w:val="22"/>
                <w:szCs w:val="22"/>
              </w:rPr>
              <w:t>моузлом) или эквивалент -20 шт.;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Трубка медная капиллярная 1/8''- 5 м.;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Микрошприц SGE-Chromatec -02-10мкл, ТУ4321-011-12908609-08 с метрологической поверкой или эквивалент  — 5шт;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Регулятор расхода газа РРГ10 или эквивалент -1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Регулятор расхода газа РРГ11 или эквивалент -1 шт.;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Руководство пользователя по подготовке и проведению хроматографического анализа на аппаратно-программном комплексе 'Хроматек-Кристалл'' или эквиваленте. Масло трансформаторное. Определение содержания воздуха и воды в трансформаторном масле (в соответствии с РД 34.43.107-95) </w:t>
            </w:r>
            <w:r>
              <w:rPr>
                <w:i/>
                <w:iCs/>
                <w:sz w:val="22"/>
                <w:szCs w:val="22"/>
              </w:rPr>
              <w:t>- 1 шт.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Руководство пользователя по подготовке и проведению хроматографического анализа на аппаратно-программном комплексе ''Хроматек-Кристалл'' или эквиваленте. Масло трансформаторное. Определение содержания антиокислительной присадки ионол в трансформаторном масле </w:t>
            </w:r>
            <w:r>
              <w:rPr>
                <w:i/>
                <w:iCs/>
                <w:sz w:val="22"/>
                <w:szCs w:val="22"/>
              </w:rPr>
              <w:t>- 1 шт.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>
              <w:rPr>
                <w:i/>
                <w:iCs/>
                <w:color w:val="000000"/>
                <w:sz w:val="22"/>
                <w:szCs w:val="22"/>
              </w:rPr>
              <w:t>Руководство пользователя по подготовке и проведению хроматографического анализа на аппаратно-программном комплексе ''Кристалл-5000''.  'Хроматек-Кристалл'' или эквиваленте. Масло трансформаторное. Определение содержания газов, растворенных в  в трансформаторном масле (в соответствии с РД 34.46.303-98).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 Руководство пользователя по подготовке и проведению хроматографического анализа на аппаратно-программном комплексе ''Кристалл-5000''. 'Хроматек-Кристалл'' или эквиваленте. Масло трансформаторное. Определение содержания фурановых производных в трансформаторном масле.</w:t>
            </w:r>
          </w:p>
          <w:p>
            <w:pPr>
              <w:pStyle w:val="Normal"/>
              <w:widowControl w:val="false"/>
              <w:ind w:left="-48" w:hanging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 Аттестованная методика количественного хроматографического анализа воды в изоляционных (трансформаторных) маслах.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-Аттестованная методика измерений массовой доли ионола в пробах энергетических масел методом газожидкостной хроматографии;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 Аттестованная методика определения содержания фурановых производных в трансформаторных маслах;</w:t>
            </w:r>
          </w:p>
          <w:p>
            <w:pPr>
              <w:pStyle w:val="Normal"/>
              <w:widowControl w:val="false"/>
              <w:ind w:left="-48" w:hanging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 Аттестованная методика измерений объемных долей диагностических газов, растворенных в трансформаторном масле, и общего газосодержания в дегазированном трансформаторном масле.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Документы, передаваемые вместе с Товаром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Поставщик обязан одновременно с передачей Товара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- сертификаты качества;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сертификаты соответствия - свидетельства об утверждении типа средств измерений;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методика поверки;</w:t>
            </w:r>
          </w:p>
          <w:p>
            <w:pPr>
              <w:pStyle w:val="Normal"/>
              <w:widowControl w:val="false"/>
              <w:ind w:left="-4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методики анализов, содержащие режимы анализов и градуировочные файлы;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- технические паспорта;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- руководства по эксплуатации;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- упаковочные листы, упаковочные ярлыки;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- товарно-транспортную накладную формы №1-Т;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- товарную накладную унифицированной формы ТОРГ-12 в 2 экз.;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- протоколы заводских испытаний.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x-none"/>
              </w:rPr>
              <w:t>7</w:t>
            </w:r>
          </w:p>
        </w:tc>
        <w:tc>
          <w:tcPr>
            <w:tcW w:w="14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>Прочие (дополнительные) требования к Товару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x-none"/>
              </w:rPr>
              <w:t>7.1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0" w:leader="none"/>
              </w:tabs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Требования к происхождению поставляемого Товара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В соответствии с нормами Постановления Правительства РФ от 23.12.2024 №1875 при проведении настоящей закупки устанавливается ограничение закупок иностранных товаров, работ, услуг, в том числе минимальную обязательную долю закупок товаров российского происхождения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Symbol" w:cs="Symbol"/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 или гарантийное письмо (в соответствие с разъяснением Министерства Финансов РФ от)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4"/>
              </w:rPr>
            </w:pPr>
            <w:r>
              <w:rPr>
                <w:iCs/>
                <w:sz w:val="22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253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391" w:hanging="363"/>
        <w:jc w:val="center"/>
        <w:rPr>
          <w:sz w:val="24"/>
          <w:szCs w:val="24"/>
        </w:rPr>
      </w:pPr>
      <w:bookmarkStart w:id="44" w:name="__RefHeading___Toc1439200_3604399662"/>
      <w:bookmarkStart w:id="45" w:name="_Toc75446583"/>
      <w:bookmarkStart w:id="46" w:name="_Toc53393312"/>
      <w:bookmarkEnd w:id="44"/>
      <w:r>
        <w:rPr>
          <w:sz w:val="24"/>
          <w:szCs w:val="24"/>
        </w:rPr>
        <w:t>Требования к документации по ценообразованию</w:t>
      </w:r>
      <w:bookmarkEnd w:id="46"/>
      <w:r>
        <w:rPr>
          <w:sz w:val="24"/>
          <w:szCs w:val="24"/>
        </w:rPr>
        <w:t xml:space="preserve"> на этапе закупки</w:t>
      </w:r>
      <w:bookmarkEnd w:id="45"/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3.1. </w:t>
      </w:r>
      <w:bookmarkStart w:id="47" w:name="_Hlk67308465_Копия_1"/>
      <w:r>
        <w:rPr>
          <w:b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8" w:name="_Hlk88327450_Копия_1"/>
      <w:r>
        <w:rPr>
          <w:b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8"/>
      <w:r>
        <w:rPr>
          <w:bCs/>
          <w:sz w:val="24"/>
          <w:szCs w:val="24"/>
          <w:lang w:eastAsia="x-none"/>
        </w:rPr>
        <w:t>, приведенной в Документации о закупке</w:t>
      </w:r>
      <w:bookmarkEnd w:id="47"/>
      <w:r>
        <w:rPr>
          <w:bCs/>
          <w:sz w:val="24"/>
          <w:szCs w:val="24"/>
          <w:lang w:eastAsia="x-none"/>
        </w:rPr>
        <w:t>.</w:t>
      </w:r>
    </w:p>
    <w:p>
      <w:pPr>
        <w:pStyle w:val="BodyText"/>
        <w:widowControl w:val="false"/>
        <w:tabs>
          <w:tab w:val="clear" w:pos="720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ab/>
        <w:t xml:space="preserve">  3</w:t>
      </w:r>
      <w:bookmarkStart w:id="49" w:name="_Toc530635900"/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.2.  Цена предлагаемого товара должна быть указана с учетом затрат на транспортировку, тару, установку, страхование, проведение экспертиз, уплату налогов, таможенных пошлин, сборов и других обязательных платежей.</w:t>
      </w:r>
      <w:bookmarkEnd w:id="49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125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82105f"/>
    <w:pPr>
      <w:keepNext w:val="true"/>
      <w:tabs>
        <w:tab w:val="clear" w:pos="720"/>
        <w:tab w:val="left" w:pos="0" w:leader="none"/>
      </w:tabs>
      <w:spacing w:lineRule="atLeast" w:line="266" w:before="6" w:after="62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 w:customStyle="1">
    <w:name w:val="Strong1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82105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8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3" w:customStyle="1">
    <w:name w:val="УРОВЕНЬ_1. Знак"/>
    <w:link w:val="112"/>
    <w:qFormat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15" w:customStyle="1">
    <w:name w:val="Строгий1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Linenumber1" w:customStyle="1">
    <w:name w:val="line number1"/>
    <w:qFormat/>
    <w:rPr/>
  </w:style>
  <w:style w:type="character" w:styleId="Linenumber">
    <w:name w:val="line number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26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16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6"/>
    <w:qFormat/>
    <w:pPr/>
    <w:rPr/>
  </w:style>
  <w:style w:type="paragraph" w:styleId="Caption111111" w:customStyle="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16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7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8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9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0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1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2" w:customStyle="1">
    <w:name w:val="УРОВЕНЬ_1."/>
    <w:basedOn w:val="ListParagraph"/>
    <w:link w:val="13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qFormat/>
  </w:style>
  <w:style w:type="numbering" w:styleId="29" w:customStyle="1">
    <w:name w:val="Стиль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EA9A-7708-4A62-97C4-987C97B1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AlterOffice/3.4.0.9$Linux_X86_64 LibreOffice_project/b8daf9e823b1a5463a2f48435ddc2e8696e7d4fc</Application>
  <AppVersion>15.0000</AppVersion>
  <Pages>16</Pages>
  <Words>2273</Words>
  <Characters>15264</Characters>
  <CharactersWithSpaces>17270</CharactersWithSpaces>
  <Paragraphs>340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2026-02-26T12:56:00Z</dcterms:created>
  <dc:creator>Быстров Олег Геннадьевич</dc:creator>
  <dc:description/>
  <dc:language>ru-RU</dc:language>
  <cp:lastModifiedBy>zabelkinans@corp.gidroogk.com</cp:lastModifiedBy>
  <cp:lastPrinted>2026-04-08T12:03:31Z</cp:lastPrinted>
  <dcterms:modified xsi:type="dcterms:W3CDTF">2026-04-13T13:15:24Z</dcterms:modified>
  <cp:revision>20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