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ind w:firstLine="709"/>
        <w:jc w:val="right"/>
        <w:rPr>
          <w:bCs/>
          <w:sz w:val="22"/>
          <w:szCs w:val="22"/>
        </w:rPr>
      </w:pPr>
      <w:r>
        <w:rPr>
          <w:bCs/>
          <w:sz w:val="22"/>
          <w:szCs w:val="22"/>
        </w:rPr>
        <w:t xml:space="preserve">                     </w:t>
      </w:r>
    </w:p>
    <w:p>
      <w:pPr>
        <w:pStyle w:val="Normal"/>
        <w:shd w:val="clear" w:color="auto" w:fill="FFFFFF"/>
        <w:tabs>
          <w:tab w:val="clear" w:pos="708"/>
          <w:tab w:val="left" w:pos="6926" w:leader="none"/>
        </w:tabs>
        <w:jc w:val="center"/>
        <w:rPr>
          <w:b/>
          <w:bCs/>
          <w:sz w:val="24"/>
          <w:szCs w:val="24"/>
        </w:rPr>
      </w:pPr>
      <w:r>
        <w:rPr>
          <w:b/>
          <w:bCs/>
          <w:sz w:val="24"/>
          <w:szCs w:val="24"/>
        </w:rPr>
      </w:r>
    </w:p>
    <w:p>
      <w:pPr>
        <w:pStyle w:val="Normal"/>
        <w:shd w:val="clear" w:color="auto" w:fill="FFFFFF"/>
        <w:tabs>
          <w:tab w:val="clear" w:pos="708"/>
          <w:tab w:val="left" w:pos="6926" w:leader="none"/>
        </w:tabs>
        <w:jc w:val="center"/>
        <w:rPr>
          <w:b/>
          <w:bCs/>
          <w:sz w:val="24"/>
          <w:szCs w:val="24"/>
        </w:rPr>
      </w:pPr>
      <w:r>
        <w:rPr>
          <w:b/>
          <w:bCs/>
          <w:sz w:val="24"/>
          <w:szCs w:val="24"/>
        </w:rPr>
        <w:t xml:space="preserve">Договор поставки №  </w:t>
      </w:r>
      <w:r>
        <w:rPr>
          <w:b/>
          <w:bCs/>
          <w:sz w:val="24"/>
          <w:szCs w:val="24"/>
          <w:shd w:fill="FFFF00" w:val="clear"/>
        </w:rPr>
        <w:t xml:space="preserve">     </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Москва</w:t>
        <w:tab/>
        <w:t xml:space="preserve">   «    »         2026г.</w:t>
      </w:r>
    </w:p>
    <w:p>
      <w:pPr>
        <w:pStyle w:val="Normal"/>
        <w:shd w:val="clear" w:color="auto" w:fill="FFFFFF"/>
        <w:tabs>
          <w:tab w:val="clear" w:pos="708"/>
          <w:tab w:val="right" w:pos="9639" w:leader="none"/>
        </w:tabs>
        <w:ind w:firstLine="709"/>
        <w:jc w:val="right"/>
        <w:rPr>
          <w:bCs/>
          <w:sz w:val="24"/>
          <w:szCs w:val="24"/>
        </w:rPr>
      </w:pPr>
      <w:r>
        <w:rPr>
          <w:bCs/>
          <w:sz w:val="24"/>
          <w:szCs w:val="24"/>
        </w:rPr>
      </w:r>
    </w:p>
    <w:p>
      <w:pPr>
        <w:pStyle w:val="Normal"/>
        <w:shd w:val="clear" w:color="auto" w:fill="FFFFFF"/>
        <w:ind w:firstLine="709"/>
        <w:jc w:val="both"/>
        <w:rPr>
          <w:sz w:val="24"/>
          <w:szCs w:val="24"/>
          <w:lang w:val="x-none"/>
        </w:rPr>
      </w:pPr>
      <w:r>
        <w:rPr>
          <w:sz w:val="24"/>
          <w:szCs w:val="24"/>
          <w:lang w:val="x-none"/>
        </w:rPr>
        <w:t>Акционерное общество «Транспортная компания РусГидро» (АО «ТК РусГидро»), (далее - «Покупатель»), в лице Заместителя Директора Центрального филиала АО «ТК РусГидро»</w:t>
      </w:r>
      <w:r>
        <w:rPr>
          <w:sz w:val="24"/>
          <w:szCs w:val="24"/>
          <w:lang w:val="x-none"/>
        </w:rPr>
        <w:t>________________</w:t>
      </w:r>
      <w:r>
        <w:rPr>
          <w:sz w:val="24"/>
          <w:szCs w:val="24"/>
          <w:lang w:val="x-none"/>
        </w:rPr>
        <w:t xml:space="preserve"> , действующего на основании</w:t>
      </w:r>
      <w:r>
        <w:rPr>
          <w:sz w:val="24"/>
          <w:szCs w:val="24"/>
          <w:lang w:val="x-none"/>
        </w:rPr>
        <w:t>_____________________</w:t>
      </w:r>
      <w:r>
        <w:rPr>
          <w:sz w:val="24"/>
          <w:szCs w:val="24"/>
          <w:lang w:val="x-none"/>
        </w:rPr>
        <w:t xml:space="preserve"> , с одной стороны, и </w:t>
      </w:r>
      <w:r>
        <w:rPr>
          <w:sz w:val="24"/>
          <w:szCs w:val="24"/>
          <w:lang w:val="x-none"/>
        </w:rPr>
        <w:t>____________</w:t>
      </w:r>
      <w:r>
        <w:rPr>
          <w:sz w:val="24"/>
          <w:szCs w:val="24"/>
          <w:lang w:val="x-none"/>
        </w:rPr>
        <w:t xml:space="preserve">(далее – «Поставщик»), в лице </w:t>
      </w:r>
      <w:r>
        <w:rPr>
          <w:sz w:val="24"/>
          <w:szCs w:val="24"/>
          <w:lang w:val="x-none"/>
        </w:rPr>
        <w:t>___________</w:t>
      </w:r>
      <w:r>
        <w:rPr>
          <w:sz w:val="24"/>
          <w:szCs w:val="24"/>
          <w:lang w:val="x-none"/>
        </w:rPr>
        <w:t xml:space="preserve">, действующего на основании  </w:t>
      </w:r>
      <w:r>
        <w:rPr>
          <w:sz w:val="24"/>
          <w:szCs w:val="24"/>
          <w:lang w:val="x-none"/>
        </w:rPr>
        <w:t>________</w:t>
      </w:r>
      <w:r>
        <w:rPr>
          <w:sz w:val="24"/>
          <w:szCs w:val="24"/>
          <w:lang w:val="x-none"/>
        </w:rPr>
        <w:t xml:space="preserve">, с другой стороны, совместно в дальнейшем именуемые «Стороны», а по отдельности – «Сторона», по результатам проведенной неконкурентной процедуры по лоту № </w:t>
      </w:r>
      <w:r>
        <w:rPr>
          <w:sz w:val="24"/>
          <w:szCs w:val="24"/>
          <w:lang w:val="x-none"/>
        </w:rPr>
        <w:t>_______</w:t>
      </w:r>
      <w:r>
        <w:rPr>
          <w:sz w:val="24"/>
          <w:szCs w:val="24"/>
          <w:lang w:val="x-none"/>
        </w:rPr>
        <w:t>, заключили настоящий договор поставки (далее – «Договор») о нижеследующем::</w:t>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 </w:t>
      </w: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Normal"/>
        <w:shd w:val="clear" w:color="auto" w:fill="FFFFFF"/>
        <w:tabs>
          <w:tab w:val="clear" w:pos="708"/>
          <w:tab w:val="left" w:pos="0" w:leader="none"/>
        </w:tabs>
        <w:ind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val="x-none" w:eastAsia="en-US"/>
        </w:rPr>
        <w:t xml:space="preserve">«Партия Товара» </w:t>
      </w:r>
      <w:r>
        <w:rPr>
          <w:bCs/>
          <w:sz w:val="24"/>
          <w:szCs w:val="24"/>
          <w:lang w:val="x-none" w:eastAsia="en-US"/>
        </w:rPr>
        <w:t xml:space="preserve">– часть Товара, единовременно поставляемая Покупателю Поставщиком, </w:t>
      </w:r>
      <w:r>
        <w:rPr>
          <w:bCs/>
          <w:sz w:val="24"/>
          <w:szCs w:val="24"/>
          <w:lang w:eastAsia="en-US"/>
        </w:rPr>
        <w:t>характеристики</w:t>
      </w:r>
      <w:r>
        <w:rPr>
          <w:bCs/>
          <w:sz w:val="24"/>
          <w:szCs w:val="24"/>
          <w:lang w:val="x-none" w:eastAsia="en-US"/>
        </w:rPr>
        <w:t xml:space="preserve"> которой определя</w:t>
      </w:r>
      <w:r>
        <w:rPr>
          <w:bCs/>
          <w:sz w:val="24"/>
          <w:szCs w:val="24"/>
          <w:lang w:eastAsia="en-US"/>
        </w:rPr>
        <w:t>ю</w:t>
      </w:r>
      <w:r>
        <w:rPr>
          <w:bCs/>
          <w:sz w:val="24"/>
          <w:szCs w:val="24"/>
          <w:lang w:val="x-none" w:eastAsia="en-US"/>
        </w:rPr>
        <w:t xml:space="preserve">тся </w:t>
      </w:r>
      <w:r>
        <w:rPr>
          <w:bCs/>
          <w:sz w:val="24"/>
          <w:szCs w:val="24"/>
          <w:lang w:eastAsia="en-US"/>
        </w:rPr>
        <w:t xml:space="preserve">Заявкой Покупателя в соответствии со </w:t>
      </w:r>
      <w:r>
        <w:rPr>
          <w:bCs/>
          <w:sz w:val="24"/>
          <w:szCs w:val="24"/>
          <w:lang w:val="x-none" w:eastAsia="en-US"/>
        </w:rPr>
        <w:t>Спецификацией, являющейся приложением к Договору.</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«Применимое право»</w:t>
      </w:r>
      <w:r>
        <w:rPr>
          <w:bCs/>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sectPr>
          <w:headerReference w:type="default" r:id="rId2"/>
          <w:type w:val="nextPage"/>
          <w:pgSz w:w="11906" w:h="16838"/>
          <w:pgMar w:left="1134" w:right="851" w:gutter="0" w:header="680" w:top="1134" w:footer="0" w:bottom="992"/>
          <w:pgNumType w:fmt="decimal"/>
          <w:formProt w:val="false"/>
          <w:textDirection w:val="lrTb"/>
          <w:docGrid w:type="default" w:linePitch="381" w:charSpace="16384"/>
        </w:sect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w:t>
      </w:r>
    </w:p>
    <w:p>
      <w:pPr>
        <w:pStyle w:val="Normal"/>
        <w:ind w:firstLine="709"/>
        <w:jc w:val="both"/>
        <w:rPr>
          <w:sz w:val="24"/>
          <w:szCs w:val="24"/>
          <w:lang w:eastAsia="en-US"/>
        </w:rPr>
      </w:pPr>
      <w:r>
        <w:rPr>
          <w:sz w:val="24"/>
          <w:szCs w:val="24"/>
          <w:lang w:eastAsia="en-US"/>
        </w:rPr>
        <w:t>рабочим днем в Российской Федерации.</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«Цена Договора»</w:t>
      </w:r>
      <w:r>
        <w:rPr>
          <w:bCs/>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widowControl/>
        <w:numPr>
          <w:ilvl w:val="0"/>
          <w:numId w:val="12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widowControl/>
        <w:numPr>
          <w:ilvl w:val="1"/>
          <w:numId w:val="123"/>
        </w:numPr>
        <w:shd w:val="clear" w:color="auto" w:fill="FFFFFF"/>
        <w:tabs>
          <w:tab w:val="clear" w:pos="708"/>
          <w:tab w:val="left" w:pos="1134" w:leader="none"/>
        </w:tabs>
        <w:ind w:left="0" w:firstLine="709"/>
        <w:jc w:val="both"/>
        <w:rPr>
          <w:sz w:val="24"/>
          <w:szCs w:val="24"/>
        </w:rPr>
      </w:pPr>
      <w:r>
        <w:rPr>
          <w:bCs/>
          <w:sz w:val="24"/>
          <w:szCs w:val="24"/>
        </w:rPr>
        <w:t xml:space="preserve">Поставщик обязуется в порядке и сроки, установленные Договором, передать в собственность Покупателю </w:t>
      </w:r>
      <w:r>
        <w:rPr>
          <w:bCs/>
          <w:sz w:val="24"/>
          <w:szCs w:val="24"/>
        </w:rPr>
        <w:t>щебеночно-песчаную смесь С6</w:t>
      </w:r>
      <w:r>
        <w:rPr>
          <w:rFonts w:eastAsia="Calibri"/>
          <w:bCs/>
          <w:color w:val="000000"/>
          <w:sz w:val="24"/>
          <w:szCs w:val="24"/>
          <w:lang w:eastAsia="en-US"/>
        </w:rPr>
        <w:t xml:space="preserve"> </w:t>
      </w:r>
      <w:r>
        <w:rPr>
          <w:rFonts w:eastAsia="Calibri"/>
          <w:color w:val="000000"/>
          <w:sz w:val="24"/>
          <w:szCs w:val="24"/>
          <w:lang w:eastAsia="en-US"/>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widowControl/>
        <w:numPr>
          <w:ilvl w:val="1"/>
          <w:numId w:val="124"/>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widowControl/>
        <w:numPr>
          <w:ilvl w:val="1"/>
          <w:numId w:val="125"/>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Загорского строительного участка Центрального филиала АО «ТК РусГидро».</w:t>
      </w:r>
    </w:p>
    <w:p>
      <w:pPr>
        <w:pStyle w:val="Normal"/>
        <w:widowControl/>
        <w:numPr>
          <w:ilvl w:val="1"/>
          <w:numId w:val="126"/>
        </w:numPr>
        <w:tabs>
          <w:tab w:val="clear" w:pos="708"/>
          <w:tab w:val="left" w:pos="0" w:leader="none"/>
          <w:tab w:val="left" w:pos="540" w:leader="none"/>
          <w:tab w:val="left" w:pos="1134" w:leader="none"/>
        </w:tabs>
        <w:ind w:left="0" w:firstLine="709"/>
        <w:jc w:val="both"/>
        <w:rPr>
          <w:highlight w:val="none"/>
          <w:shd w:fill="auto" w:val="clear"/>
        </w:rPr>
      </w:pPr>
      <w:r>
        <w:rPr>
          <w:b w:val="false"/>
          <w:i w:val="false"/>
          <w:strike w:val="false"/>
          <w:dstrike w:val="false"/>
          <w:outline w:val="false"/>
          <w:shadow w:val="false"/>
          <w:color w:val="000000"/>
          <w:spacing w:val="0"/>
          <w:kern w:val="0"/>
          <w:sz w:val="24"/>
          <w:szCs w:val="24"/>
          <w:u w:val="none"/>
          <w:shd w:fill="auto" w:val="clear"/>
          <w:em w:val="none"/>
        </w:rPr>
        <w:t>Общий срок поставки Товара:</w:t>
      </w:r>
    </w:p>
    <w:p>
      <w:pPr>
        <w:pStyle w:val="Normal"/>
        <w:widowControl/>
        <w:shd w:val="clear" w:color="auto" w:fill="FFFFFF"/>
        <w:tabs>
          <w:tab w:val="clear" w:pos="708"/>
          <w:tab w:val="left" w:pos="0" w:leader="none"/>
          <w:tab w:val="left" w:pos="540" w:leader="none"/>
          <w:tab w:val="left" w:pos="1134" w:leader="none"/>
        </w:tabs>
        <w:jc w:val="both"/>
        <w:rPr>
          <w:sz w:val="24"/>
          <w:szCs w:val="24"/>
        </w:rPr>
      </w:pPr>
      <w:r>
        <w:rPr>
          <w:bCs/>
          <w:sz w:val="24"/>
          <w:szCs w:val="24"/>
        </w:rPr>
        <w:t>1.4.1. Начало: с даты оплаты аванса.</w:t>
      </w:r>
    </w:p>
    <w:p>
      <w:pPr>
        <w:pStyle w:val="Normal"/>
        <w:widowControl/>
        <w:shd w:val="clear" w:color="auto" w:fill="FFFFFF"/>
        <w:tabs>
          <w:tab w:val="clear" w:pos="708"/>
          <w:tab w:val="left" w:pos="0" w:leader="none"/>
          <w:tab w:val="left" w:pos="540" w:leader="none"/>
          <w:tab w:val="left" w:pos="1134" w:leader="none"/>
        </w:tabs>
        <w:jc w:val="both"/>
        <w:rPr>
          <w:sz w:val="24"/>
          <w:szCs w:val="24"/>
        </w:rPr>
      </w:pPr>
      <w:r>
        <w:rPr>
          <w:bCs/>
          <w:sz w:val="24"/>
          <w:szCs w:val="24"/>
        </w:rPr>
        <w:t>1.4.2 Окончание: по истечению 12(двенадцати ) месяцев.</w:t>
      </w:r>
    </w:p>
    <w:p>
      <w:pPr>
        <w:pStyle w:val="Normal"/>
        <w:widowControl/>
        <w:numPr>
          <w:ilvl w:val="0"/>
          <w:numId w:val="0"/>
        </w:numPr>
        <w:shd w:val="clear" w:color="auto" w:fill="FFFFFF"/>
        <w:tabs>
          <w:tab w:val="clear" w:pos="708"/>
          <w:tab w:val="left" w:pos="0" w:leader="none"/>
          <w:tab w:val="left" w:pos="540" w:leader="none"/>
          <w:tab w:val="left" w:pos="1134" w:leader="none"/>
        </w:tabs>
        <w:ind w:left="0" w:hanging="0"/>
        <w:jc w:val="both"/>
        <w:rPr>
          <w:bCs/>
          <w:sz w:val="24"/>
          <w:szCs w:val="24"/>
        </w:rPr>
      </w:pPr>
      <w:r>
        <w:rPr>
          <w:bCs/>
          <w:sz w:val="24"/>
          <w:szCs w:val="24"/>
        </w:rPr>
      </w:r>
    </w:p>
    <w:p>
      <w:pPr>
        <w:pStyle w:val="Normal"/>
        <w:shd w:val="clear" w:color="auto" w:fill="FFFFFF"/>
        <w:tabs>
          <w:tab w:val="clear" w:pos="708"/>
          <w:tab w:val="left" w:pos="540" w:leader="none"/>
        </w:tabs>
        <w:ind w:firstLine="709"/>
        <w:jc w:val="both"/>
        <w:rPr>
          <w:sz w:val="24"/>
          <w:szCs w:val="24"/>
        </w:rPr>
      </w:pPr>
      <w:r>
        <w:rPr>
          <w:sz w:val="24"/>
          <w:szCs w:val="24"/>
        </w:rPr>
      </w:r>
    </w:p>
    <w:p>
      <w:pPr>
        <w:pStyle w:val="Normal"/>
        <w:widowControl/>
        <w:numPr>
          <w:ilvl w:val="0"/>
          <w:numId w:val="127"/>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widowControl/>
        <w:numPr>
          <w:ilvl w:val="1"/>
          <w:numId w:val="128"/>
        </w:numPr>
        <w:shd w:val="clear" w:color="auto" w:fill="FFFFFF"/>
        <w:tabs>
          <w:tab w:val="clear" w:pos="708"/>
          <w:tab w:val="left" w:pos="0" w:leader="none"/>
          <w:tab w:val="left" w:pos="1134" w:leader="none"/>
        </w:tabs>
        <w:ind w:left="284" w:firstLine="425"/>
        <w:jc w:val="both"/>
        <w:rPr>
          <w:sz w:val="24"/>
          <w:szCs w:val="24"/>
        </w:rPr>
      </w:pPr>
      <w:r>
        <w:rPr>
          <w:sz w:val="24"/>
          <w:szCs w:val="24"/>
        </w:rPr>
        <w:t xml:space="preserve">Цена Договора </w:t>
      </w:r>
      <w:r>
        <w:rPr>
          <w:bCs/>
          <w:sz w:val="24"/>
          <w:szCs w:val="24"/>
        </w:rPr>
        <w:t xml:space="preserve">является предельной </w:t>
      </w:r>
      <w:r>
        <w:rPr>
          <w:sz w:val="24"/>
          <w:szCs w:val="24"/>
        </w:rPr>
        <w:t xml:space="preserve"> </w:t>
      </w:r>
      <w:r>
        <w:rPr>
          <w:bCs/>
          <w:sz w:val="24"/>
          <w:szCs w:val="24"/>
        </w:rPr>
        <w:t>и составляет</w:t>
      </w:r>
      <w:r>
        <w:rPr>
          <w:sz w:val="24"/>
          <w:szCs w:val="24"/>
        </w:rPr>
        <w:t xml:space="preserve"> </w:t>
      </w:r>
      <w:r>
        <w:rPr>
          <w:sz w:val="24"/>
          <w:szCs w:val="24"/>
        </w:rPr>
        <w:t>________</w:t>
      </w:r>
      <w:r>
        <w:rPr>
          <w:bCs/>
          <w:sz w:val="24"/>
          <w:szCs w:val="24"/>
        </w:rPr>
        <w:t xml:space="preserve"> рубля </w:t>
      </w:r>
      <w:r>
        <w:rPr>
          <w:bCs/>
          <w:sz w:val="24"/>
          <w:szCs w:val="24"/>
        </w:rPr>
        <w:t>____</w:t>
      </w:r>
      <w:r>
        <w:rPr>
          <w:bCs/>
          <w:sz w:val="24"/>
          <w:szCs w:val="24"/>
        </w:rPr>
        <w:t xml:space="preserve">копеек без учета НДС, при этом НДС исчисляется дополнительно по ставке, установленной ст. 164 Налогового Кодекса РФ. </w:t>
      </w:r>
    </w:p>
    <w:p>
      <w:pPr>
        <w:pStyle w:val="Normal"/>
        <w:widowControl/>
        <w:numPr>
          <w:ilvl w:val="1"/>
          <w:numId w:val="129"/>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widowControl/>
        <w:numPr>
          <w:ilvl w:val="1"/>
          <w:numId w:val="130"/>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widowControl/>
        <w:numPr>
          <w:ilvl w:val="2"/>
          <w:numId w:val="131"/>
        </w:numPr>
        <w:shd w:val="clear" w:color="auto" w:fill="FFFFFF"/>
        <w:tabs>
          <w:tab w:val="clear" w:pos="708"/>
          <w:tab w:val="left" w:pos="1418" w:leader="none"/>
        </w:tabs>
        <w:ind w:left="0" w:firstLine="709"/>
        <w:jc w:val="both"/>
        <w:rPr>
          <w:bCs/>
          <w:sz w:val="24"/>
          <w:szCs w:val="24"/>
        </w:rPr>
      </w:pPr>
      <w:r>
        <w:rPr>
          <w:bCs/>
          <w:sz w:val="24"/>
          <w:szCs w:val="24"/>
        </w:rPr>
        <w:t>Приобретение Товара;</w:t>
      </w:r>
    </w:p>
    <w:p>
      <w:pPr>
        <w:pStyle w:val="Normal"/>
        <w:widowControl/>
        <w:numPr>
          <w:ilvl w:val="2"/>
          <w:numId w:val="132"/>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widowControl/>
        <w:numPr>
          <w:ilvl w:val="2"/>
          <w:numId w:val="133"/>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widowControl/>
        <w:numPr>
          <w:ilvl w:val="2"/>
          <w:numId w:val="134"/>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widowControl/>
        <w:numPr>
          <w:ilvl w:val="2"/>
          <w:numId w:val="135"/>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widowControl/>
        <w:numPr>
          <w:ilvl w:val="1"/>
          <w:numId w:val="136"/>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numPr>
          <w:ilvl w:val="1"/>
          <w:numId w:val="137"/>
        </w:numPr>
        <w:shd w:val="clear" w:color="auto" w:fill="FFFFFF"/>
        <w:tabs>
          <w:tab w:val="clear" w:pos="708"/>
          <w:tab w:val="left" w:pos="568" w:leader="none"/>
          <w:tab w:val="left" w:pos="1134" w:leader="none"/>
        </w:tabs>
        <w:ind w:left="0" w:firstLine="709"/>
        <w:jc w:val="both"/>
        <w:rPr>
          <w:sz w:val="24"/>
          <w:szCs w:val="24"/>
        </w:rPr>
      </w:pPr>
      <w:bookmarkStart w:id="0" w:name="_Ref361858588"/>
      <w:r>
        <w:rPr>
          <w:sz w:val="24"/>
          <w:szCs w:val="24"/>
        </w:rPr>
        <w:t>Оплата по Договору осуществляется Покупателем в следующем порядке:</w:t>
      </w:r>
      <w:bookmarkEnd w:id="0"/>
      <w:r>
        <w:rPr>
          <w:sz w:val="24"/>
          <w:szCs w:val="24"/>
        </w:rPr>
        <w:t xml:space="preserve"> </w:t>
      </w:r>
    </w:p>
    <w:p>
      <w:pPr>
        <w:pStyle w:val="Normal"/>
        <w:widowControl/>
        <w:numPr>
          <w:ilvl w:val="2"/>
          <w:numId w:val="138"/>
        </w:numPr>
        <w:shd w:val="clear" w:color="auto" w:fill="FFFFFF"/>
        <w:tabs>
          <w:tab w:val="clear" w:pos="708"/>
          <w:tab w:val="left" w:pos="1134" w:leader="none"/>
          <w:tab w:val="left" w:pos="1276" w:leader="none"/>
        </w:tabs>
        <w:spacing w:before="0" w:after="0"/>
        <w:ind w:left="0" w:firstLine="709"/>
        <w:contextualSpacing/>
        <w:jc w:val="both"/>
        <w:rPr>
          <w:sz w:val="24"/>
          <w:szCs w:val="24"/>
        </w:rPr>
      </w:pPr>
      <w:bookmarkStart w:id="1" w:name="_Ref361834178"/>
      <w:bookmarkStart w:id="2" w:name="_Ref373240288"/>
      <w:r>
        <w:rPr>
          <w:bCs/>
          <w:sz w:val="24"/>
          <w:szCs w:val="24"/>
        </w:rPr>
        <w:t xml:space="preserve">Авансовые платежи </w:t>
      </w:r>
      <w:r>
        <w:rPr>
          <w:sz w:val="24"/>
          <w:szCs w:val="24"/>
        </w:rPr>
        <w:t xml:space="preserve">в размере 30 (тридцати) процентов от стоимости заявки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Поставщику в течение 30 (тридцати) календарных дней с даты получения Покупателем счета, выставленного Поставщиком. </w:t>
      </w:r>
      <w:bookmarkEnd w:id="2"/>
    </w:p>
    <w:p>
      <w:pPr>
        <w:pStyle w:val="Normal"/>
        <w:widowControl/>
        <w:numPr>
          <w:ilvl w:val="2"/>
          <w:numId w:val="139"/>
        </w:numPr>
        <w:shd w:val="clear" w:color="auto" w:fill="FFFFFF"/>
        <w:tabs>
          <w:tab w:val="clear" w:pos="708"/>
          <w:tab w:val="left" w:pos="1418" w:leader="none"/>
        </w:tabs>
        <w:spacing w:before="0" w:after="0"/>
        <w:ind w:left="0" w:firstLine="709"/>
        <w:contextualSpacing/>
        <w:jc w:val="both"/>
        <w:rPr>
          <w:sz w:val="24"/>
          <w:szCs w:val="24"/>
        </w:rPr>
      </w:pPr>
      <w:r>
        <w:rPr>
          <w:sz w:val="24"/>
          <w:szCs w:val="24"/>
        </w:rPr>
        <w:t>Последующие платежи в размере разницы между стоимостью заявки, определенной с учетом НДС по ставке,</w:t>
      </w:r>
      <w:r>
        <w:rPr>
          <w:bCs/>
          <w:sz w:val="24"/>
          <w:szCs w:val="24"/>
        </w:rPr>
        <w:t xml:space="preserve"> установленной статьей 164 Налогового кодекса РФ на дату подписания Сторонами </w:t>
      </w:r>
      <w:r>
        <w:rPr>
          <w:sz w:val="24"/>
          <w:szCs w:val="24"/>
        </w:rPr>
        <w:t xml:space="preserve">с даты подписания Сторонами Накладной ТОРГ-12/УПД на основании счета, выставленного Поставщиком, и с учетом пункта 2.6 Договора  </w:t>
      </w:r>
      <w:r>
        <w:rPr>
          <w:color w:val="000000"/>
          <w:sz w:val="24"/>
          <w:szCs w:val="24"/>
          <w:lang w:eastAsia="en-US"/>
        </w:rPr>
        <w:t xml:space="preserve">и ранее выплаченной суммой авансового платежа, </w:t>
      </w:r>
      <w:r>
        <w:rPr>
          <w:sz w:val="24"/>
          <w:szCs w:val="24"/>
        </w:rPr>
        <w:t>выплачиваются в течение 7 (семи) рабочих дней с даты подписания Сторонами документов, указанных в пункте 3.10 Договора по соответствующей заявки, на основании счета, выставленного Поставщиком.</w:t>
      </w:r>
      <w:bookmarkEnd w:id="1"/>
    </w:p>
    <w:p>
      <w:pPr>
        <w:pStyle w:val="Normal"/>
        <w:widowControl/>
        <w:numPr>
          <w:ilvl w:val="1"/>
          <w:numId w:val="140"/>
        </w:numPr>
        <w:shd w:val="clear" w:color="auto" w:fill="FFFFFF"/>
        <w:tabs>
          <w:tab w:val="clear" w:pos="708"/>
          <w:tab w:val="left" w:pos="0" w:leader="none"/>
          <w:tab w:val="left" w:pos="1134" w:leader="none"/>
          <w:tab w:val="left" w:pos="1276" w:leader="none"/>
        </w:tabs>
        <w:spacing w:before="0" w:after="0"/>
        <w:ind w:left="0" w:firstLine="709"/>
        <w:contextualSpacing/>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Normal"/>
        <w:widowControl/>
        <w:numPr>
          <w:ilvl w:val="1"/>
          <w:numId w:val="141"/>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widowControl/>
        <w:numPr>
          <w:ilvl w:val="1"/>
          <w:numId w:val="14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widowControl/>
        <w:numPr>
          <w:ilvl w:val="1"/>
          <w:numId w:val="143"/>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w:t>
      </w:r>
      <w:r>
        <w:rPr>
          <w:bCs/>
          <w:sz w:val="24"/>
          <w:szCs w:val="24"/>
        </w:rPr>
        <w:t>-</w:t>
      </w:r>
      <w:r>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rPr>
        <w:t>-</w:t>
      </w:r>
      <w:r>
        <w:rPr>
          <w:sz w:val="24"/>
          <w:szCs w:val="24"/>
        </w:rPr>
        <w:t xml:space="preserve">фактуры в течение 3 (трех) рабочих дней с даты получения соответствующего письменного требования Покупателя. </w:t>
      </w:r>
      <w:r>
        <w:rPr>
          <w:sz w:val="24"/>
          <w:szCs w:val="24"/>
          <w:shd w:fill="auto" w:val="clear"/>
        </w:rPr>
        <w:t>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widowControl/>
        <w:numPr>
          <w:ilvl w:val="1"/>
          <w:numId w:val="144"/>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widowControl/>
        <w:numPr>
          <w:ilvl w:val="1"/>
          <w:numId w:val="145"/>
        </w:numPr>
        <w:shd w:val="clear" w:color="auto" w:fill="FFFFFF"/>
        <w:tabs>
          <w:tab w:val="clear" w:pos="708"/>
          <w:tab w:val="left" w:pos="0" w:leader="none"/>
          <w:tab w:val="left" w:pos="567" w:leader="none"/>
          <w:tab w:val="left" w:pos="716" w:leader="none"/>
          <w:tab w:val="left" w:pos="1134" w:leader="none"/>
          <w:tab w:val="left" w:pos="1276" w:leader="none"/>
        </w:tabs>
        <w:ind w:left="0" w:firstLine="709"/>
        <w:jc w:val="both"/>
        <w:rPr>
          <w:sz w:val="24"/>
          <w:szCs w:val="24"/>
        </w:rPr>
      </w:pPr>
      <w:r>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w:t>
      </w:r>
    </w:p>
    <w:p>
      <w:pPr>
        <w:pStyle w:val="Normal"/>
        <w:widowControl/>
        <w:shd w:val="clear" w:color="auto" w:fill="FFFFFF"/>
        <w:tabs>
          <w:tab w:val="clear" w:pos="708"/>
          <w:tab w:val="left" w:pos="567" w:leader="none"/>
          <w:tab w:val="left" w:pos="716" w:leader="none"/>
          <w:tab w:val="left" w:pos="1134" w:leader="none"/>
          <w:tab w:val="left" w:pos="1276" w:leader="none"/>
        </w:tabs>
        <w:ind w:left="709" w:hanging="0"/>
        <w:jc w:val="both"/>
        <w:rPr>
          <w:sz w:val="24"/>
          <w:szCs w:val="24"/>
        </w:rPr>
      </w:pPr>
      <w:r>
        <w:rPr>
          <w:sz w:val="24"/>
          <w:szCs w:val="24"/>
        </w:rPr>
      </w:r>
    </w:p>
    <w:p>
      <w:pPr>
        <w:pStyle w:val="Normal"/>
        <w:widowControl/>
        <w:numPr>
          <w:ilvl w:val="0"/>
          <w:numId w:val="146"/>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Normal"/>
        <w:widowControl/>
        <w:numPr>
          <w:ilvl w:val="1"/>
          <w:numId w:val="147"/>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Поставка Товара (партии Товара) осуществляется по Заявке в следующем порядке:</w:t>
      </w:r>
    </w:p>
    <w:p>
      <w:pPr>
        <w:pStyle w:val="Normal"/>
        <w:widowControl/>
        <w:numPr>
          <w:ilvl w:val="2"/>
          <w:numId w:val="148"/>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Покупатель в срок не позднее </w:t>
      </w:r>
      <w:r>
        <w:rPr>
          <w:bCs/>
          <w:sz w:val="24"/>
          <w:szCs w:val="24"/>
        </w:rPr>
        <w:t>10 (десяти) календарных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w:t>
      </w:r>
      <w:r>
        <w:rPr>
          <w:color w:val="000000"/>
          <w:sz w:val="24"/>
          <w:szCs w:val="24"/>
        </w:rPr>
        <w:t xml:space="preserve">  </w:t>
      </w:r>
      <w:hyperlink r:id="rId3">
        <w:r>
          <w:rPr>
            <w:rStyle w:val="Hyperlink"/>
            <w:rFonts w:ascii="times new roman;times" w:hAnsi="times new roman;times"/>
            <w:b w:val="false"/>
            <w:i w:val="false"/>
            <w:caps w:val="false"/>
            <w:smallCaps w:val="false"/>
            <w:color w:val="000000"/>
            <w:spacing w:val="0"/>
            <w:sz w:val="21"/>
            <w:szCs w:val="24"/>
            <w:u w:val="single"/>
          </w:rPr>
          <w:t>ok@raychem.org</w:t>
        </w:r>
      </w:hyperlink>
      <w:r>
        <w:rPr>
          <w:color w:val="000000"/>
          <w:sz w:val="24"/>
          <w:szCs w:val="24"/>
        </w:rPr>
        <w:t xml:space="preserve">  с </w:t>
      </w:r>
      <w:r>
        <w:rPr>
          <w:sz w:val="24"/>
          <w:szCs w:val="24"/>
        </w:rPr>
        <w:t>последующим направлением оригинала Заявки по адресу, указанному в разделе 14 Договора.</w:t>
      </w:r>
    </w:p>
    <w:p>
      <w:pPr>
        <w:pStyle w:val="Normal"/>
        <w:widowControl/>
        <w:numPr>
          <w:ilvl w:val="2"/>
          <w:numId w:val="149"/>
        </w:numPr>
        <w:tabs>
          <w:tab w:val="clear" w:pos="708"/>
          <w:tab w:val="left" w:pos="993" w:leader="none"/>
          <w:tab w:val="left" w:pos="1418" w:leader="none"/>
        </w:tabs>
        <w:spacing w:before="0" w:after="0"/>
        <w:ind w:left="0" w:firstLine="709"/>
        <w:contextualSpacing/>
        <w:jc w:val="both"/>
        <w:rPr>
          <w:sz w:val="24"/>
          <w:szCs w:val="24"/>
        </w:rPr>
      </w:pPr>
      <w:r>
        <w:rPr>
          <w:sz w:val="24"/>
          <w:szCs w:val="24"/>
        </w:rPr>
        <w:t>Поставщик в течение 3 (трех) календарных дней с даты получения Заявки подтверждает поставку Товара (партии Товара), указанного Покупателем в Заявке, по электронной почте на адрес: kononenkoev@rushydro.ru с последующим направлением письменного ответа по адресу, указанному в разделе 14 Договора.</w:t>
      </w:r>
    </w:p>
    <w:p>
      <w:pPr>
        <w:pStyle w:val="Normal"/>
        <w:widowControl/>
        <w:numPr>
          <w:ilvl w:val="2"/>
          <w:numId w:val="150"/>
        </w:numPr>
        <w:tabs>
          <w:tab w:val="clear" w:pos="708"/>
          <w:tab w:val="left" w:pos="993" w:leader="none"/>
          <w:tab w:val="left" w:pos="1418" w:leader="none"/>
        </w:tabs>
        <w:spacing w:before="0" w:after="0"/>
        <w:ind w:left="0" w:firstLine="709"/>
        <w:contextualSpacing/>
        <w:jc w:val="both"/>
        <w:rPr>
          <w:sz w:val="24"/>
          <w:szCs w:val="24"/>
        </w:rPr>
      </w:pPr>
      <w:r>
        <w:rPr>
          <w:sz w:val="24"/>
          <w:szCs w:val="24"/>
        </w:rPr>
        <w:t>Покупатель не позднее 1 (одного) рабочего дня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Normal"/>
        <w:widowControl/>
        <w:numPr>
          <w:ilvl w:val="2"/>
          <w:numId w:val="151"/>
        </w:numPr>
        <w:tabs>
          <w:tab w:val="clear" w:pos="708"/>
          <w:tab w:val="left" w:pos="993" w:leader="none"/>
          <w:tab w:val="left" w:pos="1418" w:leader="none"/>
        </w:tabs>
        <w:spacing w:before="0" w:after="0"/>
        <w:ind w:left="0" w:firstLine="709"/>
        <w:contextualSpacing/>
        <w:jc w:val="both"/>
        <w:rPr>
          <w:sz w:val="24"/>
          <w:szCs w:val="24"/>
        </w:rPr>
      </w:pPr>
      <w:r>
        <w:rPr>
          <w:sz w:val="24"/>
          <w:szCs w:val="24"/>
        </w:rPr>
        <w:t>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w:t>
      </w:r>
    </w:p>
    <w:p>
      <w:pPr>
        <w:pStyle w:val="Normal"/>
        <w:widowControl/>
        <w:numPr>
          <w:ilvl w:val="2"/>
          <w:numId w:val="152"/>
        </w:numPr>
        <w:tabs>
          <w:tab w:val="clear" w:pos="708"/>
          <w:tab w:val="left" w:pos="993" w:leader="none"/>
          <w:tab w:val="left" w:pos="1418" w:leader="none"/>
        </w:tabs>
        <w:spacing w:before="0" w:after="0"/>
        <w:ind w:left="0" w:firstLine="709"/>
        <w:contextualSpacing/>
        <w:jc w:val="both"/>
        <w:rPr>
          <w:sz w:val="24"/>
          <w:szCs w:val="24"/>
        </w:rPr>
      </w:pPr>
      <w:r>
        <w:rPr>
          <w:sz w:val="24"/>
          <w:szCs w:val="24"/>
        </w:rPr>
        <w:t xml:space="preserve">Стороны вправе запросить друг у друга необходимые дополнительные сведения для поставки Товара по Заявке. </w:t>
      </w:r>
    </w:p>
    <w:p>
      <w:pPr>
        <w:pStyle w:val="Normal"/>
        <w:numPr>
          <w:ilvl w:val="0"/>
          <w:numId w:val="0"/>
        </w:numPr>
        <w:tabs>
          <w:tab w:val="clear" w:pos="708"/>
          <w:tab w:val="left" w:pos="993" w:leader="none"/>
        </w:tabs>
        <w:ind w:left="0" w:hanging="0"/>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numPr>
          <w:ilvl w:val="0"/>
          <w:numId w:val="0"/>
        </w:numPr>
        <w:tabs>
          <w:tab w:val="clear" w:pos="708"/>
          <w:tab w:val="left" w:pos="1134" w:leader="none"/>
        </w:tabs>
        <w:ind w:left="0" w:hanging="0"/>
        <w:jc w:val="both"/>
        <w:rPr>
          <w:sz w:val="24"/>
          <w:szCs w:val="24"/>
        </w:rPr>
      </w:pPr>
      <w:r>
        <w:rPr>
          <w:sz w:val="24"/>
          <w:szCs w:val="24"/>
        </w:rPr>
        <w:t>3.1.5.2. Расторгнуть Договор в порядке, установленном пунктом 11.2 Договора.</w:t>
      </w:r>
    </w:p>
    <w:p>
      <w:pPr>
        <w:pStyle w:val="ListParagraph"/>
        <w:numPr>
          <w:ilvl w:val="2"/>
          <w:numId w:val="153"/>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r>
    </w:p>
    <w:p>
      <w:pPr>
        <w:pStyle w:val="ListParagraph"/>
        <w:widowControl/>
        <w:numPr>
          <w:ilvl w:val="0"/>
          <w:numId w:val="0"/>
        </w:numPr>
        <w:tabs>
          <w:tab w:val="clear" w:pos="708"/>
          <w:tab w:val="left" w:pos="993" w:leader="none"/>
          <w:tab w:val="left" w:pos="1418" w:leader="none"/>
        </w:tabs>
        <w:ind w:left="0" w:hanging="0"/>
        <w:jc w:val="both"/>
        <w:rPr>
          <w:sz w:val="24"/>
          <w:szCs w:val="24"/>
        </w:rPr>
      </w:pPr>
      <w:r>
        <w:rPr>
          <w:sz w:val="24"/>
          <w:szCs w:val="24"/>
        </w:rPr>
        <w:t>3.1.7. Стороны вправе запросить друг у друга необходимые дополнительные сведения для поставки Товара по Заявке.</w:t>
      </w:r>
    </w:p>
    <w:p>
      <w:pPr>
        <w:pStyle w:val="Normal"/>
        <w:widowControl/>
        <w:numPr>
          <w:ilvl w:val="1"/>
          <w:numId w:val="154"/>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Normal"/>
        <w:widowControl/>
        <w:numPr>
          <w:ilvl w:val="1"/>
          <w:numId w:val="15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Качество и количество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numPr>
          <w:ilvl w:val="1"/>
          <w:numId w:val="156"/>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Normal"/>
        <w:widowControl/>
        <w:numPr>
          <w:ilvl w:val="1"/>
          <w:numId w:val="157"/>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widowControl/>
        <w:numPr>
          <w:ilvl w:val="0"/>
          <w:numId w:val="2"/>
        </w:numPr>
        <w:tabs>
          <w:tab w:val="clear" w:pos="708"/>
          <w:tab w:val="left" w:pos="1418" w:leader="none"/>
        </w:tabs>
        <w:ind w:left="0" w:firstLine="709"/>
        <w:jc w:val="both"/>
        <w:rPr>
          <w:sz w:val="24"/>
          <w:szCs w:val="24"/>
        </w:rPr>
      </w:pPr>
      <w:r>
        <w:rPr>
          <w:sz w:val="24"/>
          <w:szCs w:val="24"/>
        </w:rPr>
        <w:t>сертификат качества в 1 экз.;</w:t>
      </w:r>
    </w:p>
    <w:p>
      <w:pPr>
        <w:pStyle w:val="Normal"/>
        <w:widowControl/>
        <w:numPr>
          <w:ilvl w:val="0"/>
          <w:numId w:val="2"/>
        </w:numPr>
        <w:tabs>
          <w:tab w:val="clear" w:pos="708"/>
          <w:tab w:val="left" w:pos="1418" w:leader="none"/>
        </w:tabs>
        <w:ind w:left="0" w:firstLine="709"/>
        <w:jc w:val="both"/>
        <w:rPr>
          <w:sz w:val="24"/>
          <w:szCs w:val="24"/>
        </w:rPr>
      </w:pPr>
      <w:r>
        <w:rPr>
          <w:sz w:val="24"/>
          <w:szCs w:val="24"/>
        </w:rPr>
        <w:t>паспорт качества в 1 экз.;</w:t>
      </w:r>
    </w:p>
    <w:p>
      <w:pPr>
        <w:pStyle w:val="Normal"/>
        <w:widowControl/>
        <w:numPr>
          <w:ilvl w:val="0"/>
          <w:numId w:val="3"/>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widowControl/>
        <w:numPr>
          <w:ilvl w:val="0"/>
          <w:numId w:val="3"/>
        </w:numPr>
        <w:shd w:val="clear" w:color="auto" w:fill="FFFFFF"/>
        <w:tabs>
          <w:tab w:val="clear" w:pos="708"/>
          <w:tab w:val="left" w:pos="1418" w:leader="none"/>
        </w:tabs>
        <w:ind w:left="0" w:firstLine="709"/>
        <w:jc w:val="both"/>
        <w:rPr>
          <w:sz w:val="24"/>
          <w:szCs w:val="24"/>
        </w:rPr>
      </w:pPr>
      <w:r>
        <w:rPr>
          <w:sz w:val="24"/>
          <w:szCs w:val="24"/>
        </w:rPr>
        <w:t>накладная ТОРГ-12/УПД в 2 (двух) экз.;</w:t>
      </w:r>
    </w:p>
    <w:p>
      <w:pPr>
        <w:pStyle w:val="Normal"/>
        <w:widowControl/>
        <w:numPr>
          <w:ilvl w:val="0"/>
          <w:numId w:val="3"/>
        </w:numPr>
        <w:shd w:val="clear" w:color="auto" w:fill="FFFFFF"/>
        <w:tabs>
          <w:tab w:val="clear" w:pos="708"/>
          <w:tab w:val="left" w:pos="1418" w:leader="none"/>
        </w:tabs>
        <w:ind w:left="0" w:firstLine="709"/>
        <w:jc w:val="both"/>
        <w:rPr>
          <w:sz w:val="24"/>
          <w:szCs w:val="24"/>
        </w:rPr>
      </w:pPr>
      <w:r>
        <w:rPr>
          <w:sz w:val="24"/>
          <w:szCs w:val="24"/>
        </w:rPr>
        <w:t>товарно-транспортная накладная в 2 (двух) экз.</w:t>
      </w:r>
    </w:p>
    <w:p>
      <w:pPr>
        <w:pStyle w:val="Normal"/>
        <w:widowControl/>
        <w:numPr>
          <w:ilvl w:val="1"/>
          <w:numId w:val="158"/>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Поставка Товара производится на объект, указанный Покупателем в заявке на отгрузку. </w:t>
      </w:r>
    </w:p>
    <w:p>
      <w:pPr>
        <w:pStyle w:val="Normal"/>
        <w:widowControl/>
        <w:numPr>
          <w:ilvl w:val="1"/>
          <w:numId w:val="159"/>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shd w:val="clear" w:color="auto" w:fill="FFFFFF"/>
        <w:tabs>
          <w:tab w:val="clear" w:pos="708"/>
          <w:tab w:val="left" w:pos="1134" w:leader="none"/>
          <w:tab w:val="left" w:pos="1418" w:leader="none"/>
        </w:tabs>
        <w:spacing w:before="0" w:after="0"/>
        <w:ind w:left="709" w:hanging="0"/>
        <w:contextualSpacing/>
        <w:jc w:val="both"/>
        <w:rPr>
          <w:bCs/>
          <w:sz w:val="24"/>
          <w:szCs w:val="24"/>
        </w:rPr>
      </w:pPr>
      <w:r>
        <w:rPr>
          <w:bCs/>
          <w:sz w:val="24"/>
          <w:szCs w:val="24"/>
        </w:rPr>
        <w:t>Оригинал доверенности представителя Поставщика подлежит передаче Покупателю.</w:t>
      </w:r>
    </w:p>
    <w:p>
      <w:pPr>
        <w:pStyle w:val="Normal"/>
        <w:widowControl/>
        <w:numPr>
          <w:ilvl w:val="1"/>
          <w:numId w:val="160"/>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numPr>
          <w:ilvl w:val="1"/>
          <w:numId w:val="161"/>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Normal"/>
        <w:widowControl/>
        <w:numPr>
          <w:ilvl w:val="1"/>
          <w:numId w:val="162"/>
        </w:numPr>
        <w:shd w:val="clear" w:color="auto" w:fill="FFFFFF"/>
        <w:tabs>
          <w:tab w:val="clear" w:pos="708"/>
          <w:tab w:val="left" w:pos="1134" w:leader="none"/>
          <w:tab w:val="left" w:pos="1418" w:leader="none"/>
        </w:tabs>
        <w:spacing w:before="0" w:after="0"/>
        <w:ind w:left="0" w:firstLine="709"/>
        <w:contextualSpacing/>
        <w:jc w:val="both"/>
        <w:rPr/>
      </w:pPr>
      <w:r>
        <w:rPr>
          <w:sz w:val="24"/>
          <w:szCs w:val="24"/>
        </w:rPr>
        <w:t>Досрочная поставка Товара допускается только при условии получения Поставщиком письменного согласия Покупателя.</w:t>
      </w:r>
    </w:p>
    <w:p>
      <w:pPr>
        <w:pStyle w:val="Normal"/>
        <w:widowControl/>
        <w:numPr>
          <w:ilvl w:val="1"/>
          <w:numId w:val="163"/>
        </w:numPr>
        <w:shd w:val="clear" w:color="auto" w:fill="FFFFFF"/>
        <w:tabs>
          <w:tab w:val="clear" w:pos="708"/>
          <w:tab w:val="left" w:pos="1418" w:leader="none"/>
        </w:tabs>
        <w:spacing w:before="0" w:after="0"/>
        <w:ind w:left="0" w:firstLine="709"/>
        <w:contextualSpacing/>
        <w:jc w:val="both"/>
        <w:rPr>
          <w:sz w:val="24"/>
          <w:szCs w:val="24"/>
        </w:rPr>
      </w:pPr>
      <w:bookmarkStart w:id="3" w:name="_Ref361396594"/>
      <w:r>
        <w:rPr>
          <w:sz w:val="24"/>
          <w:szCs w:val="24"/>
        </w:rPr>
        <w:t>Датой поставки Товара является дата подписания Сторонами Накладной</w:t>
        <w:br/>
        <w:t>ТОРГ-12</w:t>
      </w:r>
      <w:bookmarkEnd w:id="3"/>
      <w:r>
        <w:rPr>
          <w:sz w:val="24"/>
          <w:szCs w:val="24"/>
        </w:rPr>
        <w:t>/УПД.</w:t>
      </w:r>
    </w:p>
    <w:p>
      <w:pPr>
        <w:pStyle w:val="Normal"/>
        <w:widowControl/>
        <w:numPr>
          <w:ilvl w:val="1"/>
          <w:numId w:val="164"/>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Normal"/>
        <w:widowControl/>
        <w:numPr>
          <w:ilvl w:val="1"/>
          <w:numId w:val="165"/>
        </w:numPr>
        <w:tabs>
          <w:tab w:val="clear" w:pos="708"/>
          <w:tab w:val="left" w:pos="1418" w:leader="none"/>
        </w:tabs>
        <w:spacing w:before="0" w:after="0"/>
        <w:ind w:left="0" w:firstLine="709"/>
        <w:contextualSpacing/>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ТОРГ-12/УПД.</w:t>
      </w:r>
    </w:p>
    <w:p>
      <w:pPr>
        <w:pStyle w:val="Normal"/>
        <w:widowControl/>
        <w:numPr>
          <w:ilvl w:val="1"/>
          <w:numId w:val="166"/>
        </w:numPr>
        <w:tabs>
          <w:tab w:val="clear" w:pos="708"/>
          <w:tab w:val="left" w:pos="1418" w:leader="none"/>
        </w:tabs>
        <w:spacing w:before="0" w:after="0"/>
        <w:ind w:left="0" w:firstLine="709"/>
        <w:contextualSpacing/>
        <w:jc w:val="both"/>
        <w:rPr>
          <w:sz w:val="24"/>
          <w:szCs w:val="24"/>
        </w:rPr>
      </w:pPr>
      <w:r>
        <w:rPr>
          <w:sz w:val="24"/>
          <w:szCs w:val="24"/>
        </w:rPr>
        <w:t xml:space="preserve">В случае обнаружения недопоставки,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bookmarkStart w:id="4"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4"/>
    </w:p>
    <w:p>
      <w:pPr>
        <w:pStyle w:val="Normal"/>
        <w:widowControl/>
        <w:numPr>
          <w:ilvl w:val="1"/>
          <w:numId w:val="167"/>
        </w:numPr>
        <w:shd w:val="clear" w:color="auto" w:fill="FFFFFF"/>
        <w:tabs>
          <w:tab w:val="clear" w:pos="708"/>
          <w:tab w:val="left" w:pos="1418" w:leader="none"/>
          <w:tab w:val="left" w:pos="1851" w:leader="none"/>
        </w:tabs>
        <w:spacing w:before="0" w:after="0"/>
        <w:ind w:left="0" w:firstLine="709"/>
        <w:contextualSpacing/>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Normal"/>
        <w:widowControl/>
        <w:numPr>
          <w:ilvl w:val="1"/>
          <w:numId w:val="168"/>
        </w:numPr>
        <w:shd w:val="clear" w:color="auto" w:fill="FFFFFF"/>
        <w:tabs>
          <w:tab w:val="clear" w:pos="708"/>
          <w:tab w:val="left" w:pos="1134" w:leader="none"/>
          <w:tab w:val="left" w:pos="1418" w:leader="none"/>
        </w:tabs>
        <w:spacing w:before="0" w:after="0"/>
        <w:ind w:left="0" w:firstLine="709"/>
        <w:contextualSpacing/>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Normal"/>
        <w:widowControl/>
        <w:numPr>
          <w:ilvl w:val="1"/>
          <w:numId w:val="169"/>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tabs>
          <w:tab w:val="clear" w:pos="708"/>
          <w:tab w:val="left" w:pos="1190" w:leader="none"/>
        </w:tabs>
        <w:jc w:val="both"/>
        <w:rPr>
          <w:sz w:val="24"/>
          <w:szCs w:val="24"/>
        </w:rPr>
      </w:pPr>
      <w:r>
        <w:rPr>
          <w:sz w:val="24"/>
          <w:szCs w:val="24"/>
        </w:rPr>
      </w:r>
    </w:p>
    <w:p>
      <w:pPr>
        <w:pStyle w:val="Normal"/>
        <w:widowControl/>
        <w:numPr>
          <w:ilvl w:val="0"/>
          <w:numId w:val="170"/>
        </w:numPr>
        <w:shd w:val="clear" w:color="auto" w:fill="FFFFFF"/>
        <w:ind w:left="0" w:hanging="0"/>
        <w:jc w:val="center"/>
        <w:rPr>
          <w:b/>
          <w:bCs/>
          <w:sz w:val="24"/>
          <w:szCs w:val="24"/>
        </w:rPr>
      </w:pPr>
      <w:r>
        <w:rPr>
          <w:b/>
          <w:bCs/>
          <w:sz w:val="24"/>
          <w:szCs w:val="24"/>
        </w:rPr>
        <w:t>Ответственность Сторон</w:t>
      </w:r>
    </w:p>
    <w:p>
      <w:pPr>
        <w:pStyle w:val="Normal"/>
        <w:widowControl/>
        <w:numPr>
          <w:ilvl w:val="1"/>
          <w:numId w:val="10"/>
        </w:numPr>
        <w:tabs>
          <w:tab w:val="clear" w:pos="708"/>
          <w:tab w:val="left" w:pos="1276" w:leader="none"/>
        </w:tabs>
        <w:spacing w:before="0" w:after="0"/>
        <w:ind w:left="0" w:firstLine="851"/>
        <w:contextualSpacing/>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10"/>
        </w:numPr>
        <w:shd w:val="clear" w:color="auto" w:fill="FFFFFF"/>
        <w:tabs>
          <w:tab w:val="clear" w:pos="708"/>
          <w:tab w:val="left" w:pos="1134" w:leader="none"/>
        </w:tabs>
        <w:ind w:left="0" w:firstLine="709"/>
        <w:jc w:val="both"/>
        <w:rPr>
          <w:highlight w:val="none"/>
          <w:shd w:fill="auto" w:val="clear"/>
        </w:rPr>
      </w:pPr>
      <w:r>
        <w:rPr>
          <w:bCs/>
          <w:sz w:val="24"/>
          <w:szCs w:val="24"/>
          <w:shd w:fill="auto" w:val="clear"/>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BodyText"/>
        <w:widowControl/>
        <w:numPr>
          <w:ilvl w:val="1"/>
          <w:numId w:val="10"/>
        </w:numPr>
        <w:tabs>
          <w:tab w:val="clear" w:pos="708"/>
          <w:tab w:val="left" w:pos="1276" w:leader="none"/>
        </w:tabs>
        <w:spacing w:before="0" w:after="0"/>
        <w:ind w:left="0" w:firstLine="851"/>
        <w:contextualSpacing/>
        <w:jc w:val="both"/>
        <w:rPr>
          <w:sz w:val="24"/>
          <w:szCs w:val="24"/>
        </w:rPr>
      </w:pPr>
      <w:r>
        <w:rPr>
          <w:sz w:val="24"/>
          <w:szCs w:val="24"/>
          <w:shd w:fill="auto" w:val="clear"/>
        </w:rPr>
        <w:t>В случае</w:t>
      </w:r>
      <w:r>
        <w:rPr>
          <w:sz w:val="24"/>
          <w:szCs w:val="24"/>
        </w:rPr>
        <w:t xml:space="preserve">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rFonts w:ascii="Times New              Roman;se" w:hAnsi="Times New              Roman;se"/>
          <w:sz w:val="28"/>
          <w:szCs w:val="24"/>
        </w:rPr>
        <w:t xml:space="preserve">, </w:t>
      </w:r>
      <w:r>
        <w:rPr>
          <w:sz w:val="24"/>
          <w:szCs w:val="24"/>
        </w:rPr>
        <w:t>но не более 5 (Пяти) процентов от несвоевременно оплаченной суммы.</w:t>
      </w:r>
    </w:p>
    <w:p>
      <w:pPr>
        <w:pStyle w:val="Normal"/>
        <w:widowControl/>
        <w:numPr>
          <w:ilvl w:val="1"/>
          <w:numId w:val="10"/>
        </w:numPr>
        <w:tabs>
          <w:tab w:val="clear" w:pos="708"/>
          <w:tab w:val="left" w:pos="1276" w:leader="none"/>
        </w:tabs>
        <w:spacing w:before="0" w:after="0"/>
        <w:ind w:left="0" w:firstLine="709"/>
        <w:contextualSpacing/>
        <w:jc w:val="both"/>
        <w:rPr>
          <w:bCs/>
          <w:sz w:val="24"/>
          <w:szCs w:val="24"/>
        </w:rPr>
      </w:pPr>
      <w:r>
        <w:rPr>
          <w:sz w:val="24"/>
          <w:szCs w:val="24"/>
        </w:rPr>
        <w:t>В случае нарушения Поставщиком обязательств по поставке Товара (нарушение срока поставки, недопоставка),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numPr>
          <w:ilvl w:val="1"/>
          <w:numId w:val="10"/>
        </w:numPr>
        <w:tabs>
          <w:tab w:val="clear" w:pos="708"/>
          <w:tab w:val="left" w:pos="1134" w:leader="none"/>
        </w:tabs>
        <w:spacing w:before="0" w:after="0"/>
        <w:ind w:left="0" w:firstLine="709"/>
        <w:contextualSpacing/>
        <w:jc w:val="both"/>
        <w:rPr>
          <w:highlight w:val="none"/>
          <w:shd w:fill="auto" w:val="clear"/>
        </w:rPr>
      </w:pPr>
      <w:r>
        <w:rPr>
          <w:sz w:val="24"/>
          <w:szCs w:val="24"/>
          <w:shd w:fill="auto" w:val="clear"/>
        </w:rPr>
        <w:t>В случае несвоевременного устранения Поставщиком выявленных недостатков товара, Покупатель вправе потребовать уплаты Поставщиком:</w:t>
      </w:r>
    </w:p>
    <w:p>
      <w:pPr>
        <w:pStyle w:val="Normal"/>
        <w:widowControl/>
        <w:numPr>
          <w:ilvl w:val="0"/>
          <w:numId w:val="0"/>
        </w:numPr>
        <w:tabs>
          <w:tab w:val="clear" w:pos="708"/>
          <w:tab w:val="left" w:pos="993" w:leader="none"/>
        </w:tabs>
        <w:ind w:left="0" w:hanging="0"/>
        <w:jc w:val="both"/>
        <w:rPr>
          <w:highlight w:val="none"/>
          <w:shd w:fill="auto" w:val="clear"/>
        </w:rPr>
      </w:pPr>
      <w:r>
        <w:rPr>
          <w:bCs/>
          <w:sz w:val="24"/>
          <w:szCs w:val="24"/>
          <w:shd w:fill="auto" w:val="clear"/>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Normal"/>
        <w:widowControl/>
        <w:numPr>
          <w:ilvl w:val="0"/>
          <w:numId w:val="0"/>
        </w:numPr>
        <w:tabs>
          <w:tab w:val="clear" w:pos="708"/>
          <w:tab w:val="left" w:pos="993" w:leader="none"/>
        </w:tabs>
        <w:ind w:left="0" w:hanging="0"/>
        <w:jc w:val="both"/>
        <w:rPr>
          <w:highlight w:val="none"/>
          <w:shd w:fill="auto" w:val="clear"/>
        </w:rPr>
      </w:pPr>
      <w:r>
        <w:rPr>
          <w:bCs/>
          <w:sz w:val="24"/>
          <w:szCs w:val="24"/>
          <w:shd w:fill="auto" w:val="clear"/>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Normal"/>
        <w:widowControl/>
        <w:numPr>
          <w:ilvl w:val="0"/>
          <w:numId w:val="0"/>
        </w:numPr>
        <w:tabs>
          <w:tab w:val="clear" w:pos="708"/>
          <w:tab w:val="left" w:pos="993" w:leader="none"/>
        </w:tabs>
        <w:ind w:left="0" w:hanging="0"/>
        <w:jc w:val="both"/>
        <w:rPr>
          <w:highlight w:val="none"/>
          <w:shd w:fill="auto" w:val="clear"/>
        </w:rPr>
      </w:pPr>
      <w:r>
        <w:rPr>
          <w:rFonts w:eastAsia="Calibri"/>
          <w:bCs/>
          <w:sz w:val="24"/>
          <w:szCs w:val="24"/>
          <w:shd w:fill="auto" w:val="clear"/>
        </w:rPr>
        <w:t xml:space="preserve"> </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highlight w:val="none"/>
          <w:shd w:fill="auto" w:val="clear"/>
        </w:rPr>
      </w:pPr>
      <w:r>
        <w:rPr>
          <w:rFonts w:eastAsia="Calibri"/>
          <w:bCs/>
          <w:sz w:val="24"/>
          <w:szCs w:val="24"/>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bCs/>
          <w:sz w:val="24"/>
          <w:szCs w:val="24"/>
          <w:shd w:fill="auto" w:val="clear"/>
        </w:rPr>
        <w:t>.</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shd w:fill="auto" w:val="clear"/>
        </w:rPr>
        <w:t>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w:t>
      </w:r>
      <w:r>
        <w:rPr>
          <w:bCs/>
          <w:sz w:val="24"/>
          <w:szCs w:val="24"/>
        </w:rPr>
        <w:t xml:space="preserve">имо возмещения убытков, вправе требовать уплаты Поставщиком штрафа в размерах, установленных Приложением № 3 к Договору. </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Normal"/>
        <w:widowControl/>
        <w:numPr>
          <w:ilvl w:val="0"/>
          <w:numId w:val="0"/>
        </w:numPr>
        <w:shd w:val="clear" w:color="auto" w:fill="FFFFFF"/>
        <w:tabs>
          <w:tab w:val="clear" w:pos="708"/>
          <w:tab w:val="left" w:pos="1276" w:leader="none"/>
        </w:tabs>
        <w:ind w:left="0" w:hanging="0"/>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pPr>
        <w:pStyle w:val="Normal"/>
        <w:widowControl/>
        <w:numPr>
          <w:ilvl w:val="1"/>
          <w:numId w:val="10"/>
        </w:numPr>
        <w:shd w:val="clear" w:color="auto" w:fill="FFFFFF"/>
        <w:tabs>
          <w:tab w:val="clear" w:pos="708"/>
          <w:tab w:val="left" w:pos="1276" w:leader="none"/>
          <w:tab w:val="left" w:pos="4260" w:leader="none"/>
        </w:tabs>
        <w:spacing w:before="0" w:after="0"/>
        <w:ind w:left="0" w:firstLine="709"/>
        <w:contextualSpacing/>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sz w:val="24"/>
          <w:szCs w:val="24"/>
        </w:rPr>
        <w:t>Ответственность Покупателя за причиненные Поставщику убытки ограничивается реальным ущербом, но не более Цены Договора.</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numPr>
          <w:ilvl w:val="1"/>
          <w:numId w:val="10"/>
        </w:numPr>
        <w:tabs>
          <w:tab w:val="clear" w:pos="708"/>
          <w:tab w:val="left" w:pos="1276" w:leader="none"/>
        </w:tabs>
        <w:spacing w:before="0" w:after="0"/>
        <w:ind w:left="0" w:firstLine="709"/>
        <w:contextualSpacing/>
        <w:jc w:val="both"/>
        <w:rPr>
          <w:highlight w:val="none"/>
          <w:shd w:fill="auto" w:val="clear"/>
        </w:rPr>
      </w:pPr>
      <w:r>
        <w:rPr>
          <w:bCs/>
          <w:sz w:val="24"/>
          <w:szCs w:val="24"/>
          <w:shd w:fill="auto" w:val="clear"/>
        </w:rPr>
        <w:t>В случае нарушения Поставщиком обязательств по договору Покупатель вправе удержать начисленную за нарушения обязательств по договору неустойку в одностороннем внесудебном порядке из суммы, подлежащей уплате Поставщику.</w:t>
      </w:r>
    </w:p>
    <w:p>
      <w:pPr>
        <w:pStyle w:val="Normal"/>
        <w:shd w:val="clear" w:color="auto" w:fill="FFFFFF"/>
        <w:ind w:firstLine="709"/>
        <w:jc w:val="both"/>
        <w:rPr>
          <w:sz w:val="24"/>
          <w:szCs w:val="24"/>
        </w:rPr>
      </w:pPr>
      <w:r>
        <w:rPr>
          <w:sz w:val="24"/>
          <w:szCs w:val="24"/>
        </w:rPr>
      </w:r>
    </w:p>
    <w:p>
      <w:pPr>
        <w:pStyle w:val="Normal"/>
        <w:widowControl/>
        <w:numPr>
          <w:ilvl w:val="0"/>
          <w:numId w:val="171"/>
        </w:numPr>
        <w:shd w:val="clear" w:color="auto" w:fill="FFFFFF"/>
        <w:tabs>
          <w:tab w:val="clear" w:pos="708"/>
          <w:tab w:val="left" w:pos="0" w:leader="none"/>
        </w:tabs>
        <w:spacing w:before="0" w:after="0"/>
        <w:ind w:left="0" w:hanging="0"/>
        <w:contextualSpacing/>
        <w:jc w:val="center"/>
        <w:rPr>
          <w:b/>
          <w:bCs/>
          <w:sz w:val="24"/>
          <w:szCs w:val="24"/>
        </w:rPr>
      </w:pPr>
      <w:r>
        <w:rPr>
          <w:b/>
          <w:bCs/>
          <w:sz w:val="24"/>
          <w:szCs w:val="24"/>
        </w:rPr>
        <w:t>Конфиденциальность</w:t>
      </w:r>
    </w:p>
    <w:p>
      <w:pPr>
        <w:pStyle w:val="Normal"/>
        <w:widowControl/>
        <w:numPr>
          <w:ilvl w:val="1"/>
          <w:numId w:val="172"/>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Normal"/>
        <w:widowControl/>
        <w:numPr>
          <w:ilvl w:val="1"/>
          <w:numId w:val="173"/>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numPr>
          <w:ilvl w:val="1"/>
          <w:numId w:val="174"/>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numPr>
          <w:ilvl w:val="1"/>
          <w:numId w:val="175"/>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numPr>
          <w:ilvl w:val="1"/>
          <w:numId w:val="176"/>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numPr>
          <w:ilvl w:val="1"/>
          <w:numId w:val="177"/>
        </w:numPr>
        <w:shd w:val="clear" w:color="auto" w:fill="FFFFFF"/>
        <w:tabs>
          <w:tab w:val="clear" w:pos="708"/>
          <w:tab w:val="left" w:pos="0" w:leader="none"/>
          <w:tab w:val="left" w:pos="1134" w:leader="none"/>
        </w:tabs>
        <w:spacing w:before="0" w:after="0"/>
        <w:ind w:left="0" w:firstLine="709"/>
        <w:contextualSpacing/>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Normal"/>
        <w:widowControl/>
        <w:numPr>
          <w:ilvl w:val="2"/>
          <w:numId w:val="178"/>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5.6.7 Договора.</w:t>
      </w:r>
    </w:p>
    <w:p>
      <w:pPr>
        <w:pStyle w:val="Normal"/>
        <w:widowControl/>
        <w:numPr>
          <w:ilvl w:val="2"/>
          <w:numId w:val="179"/>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Normal"/>
        <w:widowControl/>
        <w:numPr>
          <w:ilvl w:val="2"/>
          <w:numId w:val="180"/>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Normal"/>
        <w:widowControl/>
        <w:numPr>
          <w:ilvl w:val="2"/>
          <w:numId w:val="181"/>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numPr>
          <w:ilvl w:val="2"/>
          <w:numId w:val="182"/>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Normal"/>
        <w:widowControl/>
        <w:numPr>
          <w:ilvl w:val="2"/>
          <w:numId w:val="183"/>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Normal"/>
        <w:widowControl/>
        <w:numPr>
          <w:ilvl w:val="2"/>
          <w:numId w:val="184"/>
        </w:numPr>
        <w:shd w:val="clear" w:color="auto" w:fill="FFFFFF"/>
        <w:tabs>
          <w:tab w:val="clear" w:pos="708"/>
          <w:tab w:val="left" w:pos="1418" w:leader="none"/>
        </w:tabs>
        <w:spacing w:before="0" w:after="0"/>
        <w:ind w:left="0" w:firstLine="709"/>
        <w:contextualSpacing/>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Normal"/>
        <w:widowControl/>
        <w:numPr>
          <w:ilvl w:val="2"/>
          <w:numId w:val="185"/>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Не разглашать третьим лицам факты передачи или получения Информации.</w:t>
      </w:r>
    </w:p>
    <w:p>
      <w:pPr>
        <w:pStyle w:val="Normal"/>
        <w:widowControl/>
        <w:numPr>
          <w:ilvl w:val="1"/>
          <w:numId w:val="186"/>
        </w:numPr>
        <w:shd w:val="clear" w:color="auto" w:fill="FFFFFF"/>
        <w:tabs>
          <w:tab w:val="clear" w:pos="708"/>
          <w:tab w:val="left" w:pos="1134" w:leader="none"/>
        </w:tabs>
        <w:spacing w:before="0" w:after="0"/>
        <w:ind w:left="0" w:firstLine="709"/>
        <w:contextualSpacing/>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widowControl/>
        <w:numPr>
          <w:ilvl w:val="1"/>
          <w:numId w:val="187"/>
        </w:numPr>
        <w:shd w:val="clear" w:color="auto" w:fill="FFFFFF"/>
        <w:tabs>
          <w:tab w:val="clear" w:pos="708"/>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Normal"/>
        <w:widowControl/>
        <w:numPr>
          <w:ilvl w:val="0"/>
          <w:numId w:val="188"/>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Разрешение споров</w:t>
      </w:r>
    </w:p>
    <w:p>
      <w:pPr>
        <w:pStyle w:val="Normal"/>
        <w:widowControl/>
        <w:numPr>
          <w:ilvl w:val="1"/>
          <w:numId w:val="189"/>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Normal"/>
        <w:widowControl/>
        <w:numPr>
          <w:ilvl w:val="1"/>
          <w:numId w:val="190"/>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Споры, указанные в пункте 6.1 Договора, которые не были урегулированы Сторонами путем переговоров, подлежат разрешению в Арбитражном суде города Москвы.  </w:t>
      </w:r>
    </w:p>
    <w:p>
      <w:pPr>
        <w:pStyle w:val="Normal"/>
        <w:widowControl/>
        <w:numPr>
          <w:ilvl w:val="1"/>
          <w:numId w:val="191"/>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12.8 Договора.</w:t>
      </w:r>
    </w:p>
    <w:p>
      <w:pPr>
        <w:pStyle w:val="Normal"/>
        <w:widowControl/>
        <w:numPr>
          <w:ilvl w:val="1"/>
          <w:numId w:val="192"/>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widowControl/>
        <w:numPr>
          <w:ilvl w:val="1"/>
          <w:numId w:val="193"/>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Normal"/>
        <w:widowControl/>
        <w:numPr>
          <w:ilvl w:val="0"/>
          <w:numId w:val="194"/>
        </w:numPr>
        <w:shd w:val="clear" w:color="auto" w:fill="FFFFFF"/>
        <w:spacing w:before="0" w:after="0"/>
        <w:ind w:left="0" w:hanging="0"/>
        <w:contextualSpacing/>
        <w:jc w:val="center"/>
        <w:rPr>
          <w:b/>
          <w:bCs/>
          <w:sz w:val="24"/>
          <w:szCs w:val="24"/>
        </w:rPr>
      </w:pPr>
      <w:r>
        <w:rPr>
          <w:b/>
          <w:bCs/>
          <w:sz w:val="24"/>
          <w:szCs w:val="24"/>
        </w:rPr>
        <w:t>Антикоррупционная оговорка</w:t>
      </w:r>
    </w:p>
    <w:p>
      <w:pPr>
        <w:pStyle w:val="Normal"/>
        <w:widowControl/>
        <w:numPr>
          <w:ilvl w:val="1"/>
          <w:numId w:val="195"/>
        </w:numPr>
        <w:shd w:val="clear" w:color="auto" w:fill="FFFFFF"/>
        <w:tabs>
          <w:tab w:val="clear" w:pos="708"/>
          <w:tab w:val="left" w:pos="1134" w:leader="none"/>
        </w:tabs>
        <w:spacing w:before="0" w:after="0"/>
        <w:ind w:left="0" w:firstLine="709"/>
        <w:contextualSpacing/>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numPr>
          <w:ilvl w:val="1"/>
          <w:numId w:val="196"/>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numPr>
          <w:ilvl w:val="1"/>
          <w:numId w:val="197"/>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numPr>
          <w:ilvl w:val="1"/>
          <w:numId w:val="198"/>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numPr>
          <w:ilvl w:val="1"/>
          <w:numId w:val="199"/>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numPr>
          <w:ilvl w:val="1"/>
          <w:numId w:val="200"/>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numPr>
          <w:ilvl w:val="1"/>
          <w:numId w:val="201"/>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7.7.1.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7.7.2.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7.7.3.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hd w:val="clear" w:color="auto" w:fill="FFFFFF"/>
        <w:tabs>
          <w:tab w:val="clear" w:pos="708"/>
          <w:tab w:val="left" w:pos="0" w:leader="none"/>
          <w:tab w:val="left" w:pos="284" w:leader="none"/>
          <w:tab w:val="left" w:pos="567" w:leader="none"/>
        </w:tabs>
        <w:ind w:firstLine="709"/>
        <w:jc w:val="both"/>
        <w:rPr>
          <w:b/>
          <w:bCs/>
          <w:sz w:val="24"/>
          <w:szCs w:val="24"/>
        </w:rPr>
      </w:pPr>
      <w:r>
        <w:rPr>
          <w:b/>
          <w:bCs/>
          <w:sz w:val="24"/>
          <w:szCs w:val="24"/>
        </w:rPr>
      </w:r>
    </w:p>
    <w:p>
      <w:pPr>
        <w:pStyle w:val="Normal"/>
        <w:widowControl/>
        <w:numPr>
          <w:ilvl w:val="0"/>
          <w:numId w:val="202"/>
        </w:numPr>
        <w:shd w:val="clear" w:color="auto" w:fill="FFFFFF"/>
        <w:spacing w:before="0" w:after="0"/>
        <w:ind w:left="0" w:hanging="0"/>
        <w:contextualSpacing/>
        <w:jc w:val="center"/>
        <w:rPr>
          <w:b/>
          <w:bCs/>
          <w:sz w:val="24"/>
          <w:szCs w:val="24"/>
        </w:rPr>
      </w:pPr>
      <w:r>
        <w:rPr>
          <w:b/>
          <w:bCs/>
          <w:sz w:val="24"/>
          <w:szCs w:val="24"/>
        </w:rPr>
        <w:t>Обстоятельства непреодолимой силы (форс-мажор)</w:t>
      </w:r>
    </w:p>
    <w:p>
      <w:pPr>
        <w:pStyle w:val="Normal"/>
        <w:widowControl/>
        <w:numPr>
          <w:ilvl w:val="1"/>
          <w:numId w:val="203"/>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Normal"/>
        <w:widowControl/>
        <w:numPr>
          <w:ilvl w:val="1"/>
          <w:numId w:val="204"/>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Normal"/>
        <w:widowControl/>
        <w:numPr>
          <w:ilvl w:val="1"/>
          <w:numId w:val="205"/>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Normal"/>
        <w:widowControl/>
        <w:numPr>
          <w:ilvl w:val="1"/>
          <w:numId w:val="206"/>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widowControl/>
        <w:numPr>
          <w:ilvl w:val="1"/>
          <w:numId w:val="207"/>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Normal"/>
        <w:widowControl/>
        <w:numPr>
          <w:ilvl w:val="1"/>
          <w:numId w:val="208"/>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shd w:val="clear" w:color="auto" w:fill="FFFFFF"/>
        <w:tabs>
          <w:tab w:val="clear" w:pos="708"/>
          <w:tab w:val="left" w:pos="0" w:leader="none"/>
          <w:tab w:val="left" w:pos="568" w:leader="none"/>
          <w:tab w:val="left" w:pos="1418" w:leader="none"/>
        </w:tabs>
        <w:ind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09"/>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Normal"/>
        <w:widowControl/>
        <w:numPr>
          <w:ilvl w:val="1"/>
          <w:numId w:val="210"/>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8" w:name="_Ref361337900"/>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Normal"/>
        <w:widowControl/>
        <w:numPr>
          <w:ilvl w:val="1"/>
          <w:numId w:val="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4">
        <w:r>
          <w:rPr>
            <w:rStyle w:val="Hyperlink"/>
            <w:bCs/>
            <w:color w:val="auto"/>
            <w:sz w:val="24"/>
            <w:szCs w:val="24"/>
            <w:u w:val="none"/>
          </w:rPr>
          <w:t>№ 18162/09</w:t>
        </w:r>
      </w:hyperlink>
      <w:r>
        <w:rPr>
          <w:bCs/>
          <w:sz w:val="24"/>
          <w:szCs w:val="24"/>
        </w:rPr>
        <w:t xml:space="preserve"> </w:t>
        <w:br/>
        <w:t xml:space="preserve">и от 25.05.2010 </w:t>
      </w:r>
      <w:hyperlink r:id="rId5">
        <w:r>
          <w:rPr>
            <w:rStyle w:val="Hyperlink"/>
            <w:bCs/>
            <w:color w:val="auto"/>
            <w:sz w:val="24"/>
            <w:szCs w:val="24"/>
            <w:u w:val="none"/>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Normal"/>
        <w:widowControl/>
        <w:numPr>
          <w:ilvl w:val="1"/>
          <w:numId w:val="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соответствующие </w:t>
      </w:r>
      <w:hyperlink r:id="rId6">
        <w:r>
          <w:rPr>
            <w:rStyle w:val="Hyperlink"/>
            <w:bCs/>
            <w:color w:val="auto"/>
            <w:sz w:val="24"/>
            <w:szCs w:val="24"/>
            <w:u w:val="none"/>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8"/>
    </w:p>
    <w:p>
      <w:pPr>
        <w:pStyle w:val="Normal"/>
        <w:widowControl/>
        <w:numPr>
          <w:ilvl w:val="1"/>
          <w:numId w:val="211"/>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9"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9.1 Договора, а также обеспечить прекращение участия таких организаций в исполнении Договора.</w:t>
      </w:r>
      <w:bookmarkEnd w:id="9"/>
    </w:p>
    <w:p>
      <w:pPr>
        <w:pStyle w:val="Normal"/>
        <w:widowControl/>
        <w:numPr>
          <w:ilvl w:val="1"/>
          <w:numId w:val="212"/>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0" w:name="_Ref361337948"/>
      <w:r>
        <w:rPr>
          <w:bCs/>
          <w:sz w:val="24"/>
          <w:szCs w:val="24"/>
        </w:rPr>
        <w:t xml:space="preserve"> </w:t>
      </w:r>
      <w:r>
        <w:rPr>
          <w:bCs/>
          <w:sz w:val="24"/>
          <w:szCs w:val="24"/>
        </w:rPr>
        <w:t xml:space="preserve">В случае нарушения Поставщиком обязательств, установленных пунктами 9.1, 9.2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pPr>
        <w:pStyle w:val="Normal"/>
        <w:widowControl/>
        <w:numPr>
          <w:ilvl w:val="1"/>
          <w:numId w:val="213"/>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1" w:name="_Ref361337980"/>
      <w:r>
        <w:rPr>
          <w:bCs/>
          <w:sz w:val="24"/>
          <w:szCs w:val="24"/>
        </w:rPr>
        <w:t>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9.1, 9.2 Договора.</w:t>
      </w:r>
      <w:bookmarkEnd w:id="11"/>
    </w:p>
    <w:p>
      <w:pPr>
        <w:pStyle w:val="Normal"/>
        <w:widowControl/>
        <w:numPr>
          <w:ilvl w:val="1"/>
          <w:numId w:val="214"/>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2" w:name="_Ref373243071"/>
      <w:r>
        <w:rPr>
          <w:bCs/>
          <w:sz w:val="24"/>
          <w:szCs w:val="24"/>
        </w:rPr>
        <w:t xml:space="preserve">Штраф, предусмотренный пунктом 9.4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9.3 Договора.</w:t>
      </w:r>
      <w:bookmarkEnd w:id="12"/>
    </w:p>
    <w:p>
      <w:pPr>
        <w:pStyle w:val="Normal"/>
        <w:widowControl/>
        <w:numPr>
          <w:ilvl w:val="1"/>
          <w:numId w:val="215"/>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3" w:name="_Ref361337992"/>
      <w:r>
        <w:rPr>
          <w:bCs/>
          <w:sz w:val="24"/>
          <w:szCs w:val="24"/>
        </w:rPr>
        <w:t xml:space="preserve">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9.4. Договора. </w:t>
        <w:br/>
        <w:t>При этом Покупатель не будет считаться просрочившим и / или нарушившим свои обязательства по Договору.</w:t>
      </w:r>
      <w:bookmarkEnd w:id="13"/>
    </w:p>
    <w:p>
      <w:pPr>
        <w:pStyle w:val="Normal"/>
        <w:widowControl/>
        <w:numPr>
          <w:ilvl w:val="1"/>
          <w:numId w:val="216"/>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r>
        <w:rPr>
          <w:bCs/>
          <w:sz w:val="24"/>
          <w:szCs w:val="24"/>
        </w:rPr>
        <w:t>Независимо от других положений Договора, положения пунктов 9.4, 9.5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8"/>
          <w:tab w:val="left" w:pos="1134" w:leader="none"/>
        </w:tabs>
        <w:jc w:val="both"/>
        <w:rPr>
          <w:bCs/>
          <w:sz w:val="24"/>
          <w:szCs w:val="24"/>
        </w:rPr>
      </w:pPr>
      <w:r>
        <w:rPr>
          <w:bCs/>
          <w:sz w:val="24"/>
          <w:szCs w:val="24"/>
        </w:rPr>
      </w:r>
    </w:p>
    <w:p>
      <w:pPr>
        <w:pStyle w:val="Normal"/>
        <w:widowControl/>
        <w:numPr>
          <w:ilvl w:val="0"/>
          <w:numId w:val="217"/>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Заверения</w:t>
      </w:r>
      <w:r>
        <w:rPr>
          <w:b/>
          <w:sz w:val="24"/>
          <w:szCs w:val="24"/>
        </w:rPr>
        <w:t xml:space="preserve"> Сторон</w:t>
      </w:r>
    </w:p>
    <w:p>
      <w:pPr>
        <w:pStyle w:val="Normal"/>
        <w:widowControl/>
        <w:numPr>
          <w:ilvl w:val="1"/>
          <w:numId w:val="218"/>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Normal"/>
        <w:widowControl/>
        <w:numPr>
          <w:ilvl w:val="1"/>
          <w:numId w:val="219"/>
        </w:numPr>
        <w:shd w:val="clear" w:color="auto" w:fill="FFFFFF"/>
        <w:tabs>
          <w:tab w:val="clear" w:pos="708"/>
          <w:tab w:val="left" w:pos="1418" w:leader="none"/>
        </w:tabs>
        <w:spacing w:before="0" w:after="0"/>
        <w:ind w:left="0" w:firstLine="709"/>
        <w:contextualSpacing/>
        <w:jc w:val="both"/>
        <w:rPr>
          <w:sz w:val="24"/>
          <w:szCs w:val="24"/>
        </w:rPr>
      </w:pPr>
      <w:r>
        <w:rPr>
          <w:sz w:val="24"/>
          <w:szCs w:val="24"/>
        </w:rPr>
        <w:t>Поставщик заявляет и заверяет Покупателя в том, что на момент заключения Договора:</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руководителем Поставщика является лицо, не являющееся массовым руководителем;</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20"/>
        </w:numPr>
        <w:tabs>
          <w:tab w:val="clear" w:pos="708"/>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Normal"/>
        <w:widowControl/>
        <w:numPr>
          <w:ilvl w:val="1"/>
          <w:numId w:val="221"/>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Normal"/>
        <w:widowControl/>
        <w:numPr>
          <w:ilvl w:val="1"/>
          <w:numId w:val="222"/>
        </w:numPr>
        <w:shd w:val="clear" w:color="auto" w:fill="FFFFFF"/>
        <w:tabs>
          <w:tab w:val="clear" w:pos="708"/>
          <w:tab w:val="left" w:pos="1418" w:leader="none"/>
        </w:tabs>
        <w:spacing w:before="0" w:after="0"/>
        <w:ind w:left="0" w:firstLine="709"/>
        <w:contextualSpacing/>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shd w:val="clear" w:color="auto" w:fill="FFFFFF"/>
        <w:tabs>
          <w:tab w:val="clear" w:pos="708"/>
          <w:tab w:val="left" w:pos="1134" w:leader="none"/>
          <w:tab w:val="left" w:pos="1418" w:leader="none"/>
        </w:tabs>
        <w:ind w:firstLine="709"/>
        <w:jc w:val="both"/>
        <w:rPr>
          <w:sz w:val="24"/>
          <w:szCs w:val="24"/>
        </w:rPr>
      </w:pPr>
      <w:r>
        <w:rPr>
          <w:sz w:val="24"/>
          <w:szCs w:val="24"/>
        </w:rPr>
      </w:r>
    </w:p>
    <w:p>
      <w:pPr>
        <w:pStyle w:val="Normal"/>
        <w:widowControl/>
        <w:numPr>
          <w:ilvl w:val="0"/>
          <w:numId w:val="223"/>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П</w:t>
      </w:r>
      <w:r>
        <w:rPr>
          <w:b/>
          <w:sz w:val="24"/>
          <w:szCs w:val="24"/>
        </w:rPr>
        <w:t>рекращение (расторжение) Договора</w:t>
      </w:r>
    </w:p>
    <w:p>
      <w:pPr>
        <w:pStyle w:val="Normal"/>
        <w:widowControl/>
        <w:numPr>
          <w:ilvl w:val="1"/>
          <w:numId w:val="224"/>
        </w:numPr>
        <w:shd w:val="clear" w:color="auto" w:fill="FFFFFF"/>
        <w:tabs>
          <w:tab w:val="clear" w:pos="708"/>
          <w:tab w:val="left" w:pos="1418" w:leader="none"/>
        </w:tabs>
        <w:spacing w:before="0" w:after="0"/>
        <w:ind w:left="0" w:firstLine="709"/>
        <w:contextualSpacing/>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12.8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Normal"/>
        <w:widowControl/>
        <w:numPr>
          <w:ilvl w:val="1"/>
          <w:numId w:val="225"/>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numPr>
          <w:ilvl w:val="1"/>
          <w:numId w:val="226"/>
        </w:numPr>
        <w:shd w:val="clear" w:color="auto" w:fill="FFFFFF"/>
        <w:tabs>
          <w:tab w:val="clear" w:pos="708"/>
          <w:tab w:val="left" w:pos="709" w:leader="none"/>
          <w:tab w:val="left" w:pos="1418" w:leader="none"/>
        </w:tabs>
        <w:spacing w:before="0" w:after="0"/>
        <w:ind w:left="0" w:firstLine="709"/>
        <w:contextualSpacing/>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Normal"/>
        <w:widowControl/>
        <w:shd w:val="clear" w:color="auto" w:fill="FFFFFF"/>
        <w:tabs>
          <w:tab w:val="clear" w:pos="708"/>
          <w:tab w:val="left" w:pos="1134" w:leader="none"/>
          <w:tab w:val="left" w:pos="1418" w:leader="none"/>
        </w:tabs>
        <w:ind w:firstLine="709"/>
        <w:jc w:val="both"/>
        <w:rPr/>
      </w:pPr>
      <w:r>
        <w:rPr>
          <w:sz w:val="24"/>
          <w:szCs w:val="24"/>
        </w:rPr>
        <w:t xml:space="preserve">Стороны установили, что существенным нарушением Договора Поставщиком является: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 </w:t>
      </w:r>
    </w:p>
    <w:p>
      <w:pPr>
        <w:pStyle w:val="Normal"/>
        <w:widowControl/>
        <w:numPr>
          <w:ilvl w:val="1"/>
          <w:numId w:val="227"/>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В случае отказа Покупателя от Договора в случаях, предусмотренных пунктами 11.3,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numPr>
          <w:ilvl w:val="1"/>
          <w:numId w:val="228"/>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С даты прекращения (расторжения) Договора Поставщик обязан прекратить поставку Товара.</w:t>
      </w:r>
    </w:p>
    <w:p>
      <w:pPr>
        <w:pStyle w:val="Normal"/>
        <w:widowControl/>
        <w:numPr>
          <w:ilvl w:val="1"/>
          <w:numId w:val="229"/>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Normal"/>
        <w:widowControl/>
        <w:numPr>
          <w:ilvl w:val="0"/>
          <w:numId w:val="230"/>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Заключительные положения</w:t>
      </w:r>
    </w:p>
    <w:p>
      <w:pPr>
        <w:pStyle w:val="Normal"/>
        <w:widowControl/>
        <w:shd w:val="clear" w:color="auto" w:fill="FFFFFF"/>
        <w:tabs>
          <w:tab w:val="clear" w:pos="708"/>
          <w:tab w:val="left" w:pos="142" w:leader="none"/>
          <w:tab w:val="left" w:pos="1418" w:leader="none"/>
        </w:tabs>
        <w:spacing w:before="0" w:after="0"/>
        <w:ind w:firstLine="709"/>
        <w:contextualSpacing/>
        <w:jc w:val="both"/>
        <w:rPr>
          <w:sz w:val="24"/>
          <w:szCs w:val="24"/>
        </w:rPr>
      </w:pPr>
      <w:r>
        <w:rPr>
          <w:sz w:val="24"/>
          <w:szCs w:val="24"/>
        </w:rPr>
        <w:t>12.1.</w:t>
        <w:tab/>
        <w:t>Договор вступает в силу с даты его подписания Сторонами и действует в течение 12 (двенадцати) месяцев.</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12.2.</w:t>
        <w:tab/>
        <w:t>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12.3.</w:t>
        <w:tab/>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12.7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12.4.</w:t>
        <w:tab/>
        <w:t>Все приложения к Договору, а также любые изменения и дополнения, оформленные надлежащим образом, являются неотъемлемой частью Договора.</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12.5.</w:t>
        <w:tab/>
        <w:t xml:space="preserve">В случае наличия любых расхождений между содержанием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и приложений к нему, приоритет имеет текст Договора.</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12.6.</w:t>
        <w:tab/>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12.8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12.7.</w:t>
        <w:tab/>
        <w:t xml:space="preserve">Стороны обязуются уведомлять друг друга об изменении адреса и / или реквизитов, указанных в разделе 14 Договора, не позднее 3 (трех) рабочих дней после такого изменения в порядке, установленном пунктом 12.8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w:t>
        <w:tab/>
        <w:t xml:space="preserve">Письма, уведомления и / или сообщения направляются Стороне-получателю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12.8.1.</w:t>
        <w:tab/>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12.8.2.</w:t>
        <w:tab/>
        <w:t xml:space="preserve">Доставкой лично или курьером Стороны-отправителя – в дату и время фактического приема уведомления Стороной-получателем с отметкой о получении;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12.8.3.</w:t>
        <w:tab/>
        <w:t>Посредством электронной почты (e-mail) – в дату направления электронного сообщения, зафиксированную на почтовом сервере отправителя.</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12.8.1 – 12.8.2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12.9.</w:t>
        <w:tab/>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12.10.</w:t>
        <w:tab/>
        <w:t xml:space="preserve">Уступка (передача), в том числе в залог, прав (требований) к Покупателю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 xml:space="preserve">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12.11.</w:t>
        <w:tab/>
        <w:t xml:space="preserve">Во всем остальном, что не урегулировано Договором, Стороны руководствуются законодательством Российской Федерации.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12.12.</w:t>
        <w:tab/>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rPr>
        <w:footnoteReference w:id="2"/>
      </w:r>
      <w:r>
        <w:rPr>
          <w:sz w:val="24"/>
          <w:szCs w:val="24"/>
        </w:rPr>
        <w:t>.</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r>
    </w:p>
    <w:p>
      <w:pPr>
        <w:pStyle w:val="Normal"/>
        <w:widowControl/>
        <w:numPr>
          <w:ilvl w:val="0"/>
          <w:numId w:val="231"/>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ind w:firstLine="709"/>
        <w:jc w:val="both"/>
        <w:rPr>
          <w:sz w:val="24"/>
          <w:szCs w:val="24"/>
          <w:lang w:eastAsia="en-US"/>
        </w:rPr>
      </w:pPr>
      <w:bookmarkStart w:id="14" w:name="sub_1"/>
      <w:r>
        <w:rPr>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ind w:firstLine="709"/>
        <w:jc w:val="both"/>
        <w:rPr>
          <w:sz w:val="24"/>
          <w:szCs w:val="24"/>
          <w:lang w:eastAsia="x-none"/>
        </w:rPr>
      </w:pPr>
      <w:r>
        <w:rPr>
          <w:sz w:val="24"/>
          <w:szCs w:val="24"/>
          <w:lang w:eastAsia="x-none"/>
        </w:rPr>
        <w:t>Приложение № 2 –</w:t>
      </w:r>
      <w:r>
        <w:rPr>
          <w:sz w:val="24"/>
          <w:szCs w:val="24"/>
          <w:lang w:eastAsia="en-US"/>
        </w:rPr>
        <w:t xml:space="preserve"> Форма Заявки на поставку Товара;</w:t>
      </w:r>
      <w:bookmarkEnd w:id="14"/>
    </w:p>
    <w:p>
      <w:pPr>
        <w:pStyle w:val="Normal"/>
        <w:ind w:firstLine="709"/>
        <w:jc w:val="both"/>
        <w:rPr>
          <w:bCs/>
          <w:sz w:val="24"/>
          <w:szCs w:val="24"/>
        </w:rPr>
      </w:pPr>
      <w:r>
        <w:rPr>
          <w:bCs/>
          <w:sz w:val="24"/>
          <w:szCs w:val="24"/>
        </w:rPr>
        <w:t xml:space="preserve">Приложение № 3 </w:t>
      </w:r>
      <w:r>
        <w:rPr>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lang w:eastAsia="en-US"/>
        </w:rPr>
      </w:pPr>
      <w:r>
        <w:rPr>
          <w:sz w:val="24"/>
          <w:szCs w:val="24"/>
          <w:lang w:eastAsia="en-US"/>
        </w:rPr>
        <w:t>Приложение № 4 – Техническое задание на поставку МТР</w:t>
      </w:r>
    </w:p>
    <w:p>
      <w:pPr>
        <w:pStyle w:val="Normal"/>
        <w:ind w:firstLine="709"/>
        <w:jc w:val="both"/>
        <w:rPr>
          <w:bCs/>
          <w:sz w:val="24"/>
          <w:szCs w:val="24"/>
        </w:rPr>
      </w:pPr>
      <w:r>
        <w:rPr>
          <w:bCs/>
          <w:sz w:val="24"/>
          <w:szCs w:val="24"/>
        </w:rPr>
      </w:r>
    </w:p>
    <w:p>
      <w:pPr>
        <w:pStyle w:val="Normal"/>
        <w:widowControl/>
        <w:numPr>
          <w:ilvl w:val="0"/>
          <w:numId w:val="232"/>
        </w:numPr>
        <w:shd w:val="clear" w:color="auto" w:fill="FFFFFF"/>
        <w:spacing w:before="0" w:after="0"/>
        <w:ind w:left="0" w:hanging="0"/>
        <w:contextualSpacing/>
        <w:jc w:val="center"/>
        <w:rPr>
          <w:b/>
          <w:bCs/>
          <w:sz w:val="24"/>
          <w:szCs w:val="24"/>
        </w:rPr>
      </w:pPr>
      <w:r>
        <w:rPr>
          <w:b/>
          <w:bCs/>
          <w:sz w:val="24"/>
          <w:szCs w:val="24"/>
        </w:rPr>
        <w:t>Адреса и платежные реквизиты Сторон</w:t>
      </w:r>
    </w:p>
    <w:p>
      <w:pPr>
        <w:pStyle w:val="Normal"/>
        <w:widowControl/>
        <w:shd w:val="clear" w:color="auto" w:fill="FFFFFF"/>
        <w:tabs>
          <w:tab w:val="clear" w:pos="708"/>
          <w:tab w:val="left" w:pos="426" w:leader="none"/>
        </w:tabs>
        <w:ind w:firstLine="709"/>
        <w:rPr>
          <w:b/>
          <w:bCs/>
          <w:sz w:val="24"/>
          <w:szCs w:val="24"/>
        </w:rPr>
      </w:pPr>
      <w:r>
        <w:rPr>
          <w:b/>
          <w:bCs/>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912"/>
        <w:gridCol w:w="4868"/>
      </w:tblGrid>
      <w:tr>
        <w:trPr/>
        <w:tc>
          <w:tcPr>
            <w:tcW w:w="4912" w:type="dxa"/>
            <w:tcBorders/>
          </w:tcPr>
          <w:p>
            <w:pPr>
              <w:pStyle w:val="Normal"/>
              <w:widowControl w:val="false"/>
              <w:rPr>
                <w:b/>
                <w:sz w:val="24"/>
                <w:szCs w:val="24"/>
              </w:rPr>
            </w:pPr>
            <w:r>
              <w:rPr>
                <w:b/>
                <w:sz w:val="24"/>
                <w:szCs w:val="24"/>
              </w:rPr>
              <w:t>Покупатель:</w:t>
            </w:r>
          </w:p>
        </w:tc>
        <w:tc>
          <w:tcPr>
            <w:tcW w:w="4868" w:type="dxa"/>
            <w:tcBorders/>
          </w:tcPr>
          <w:p>
            <w:pPr>
              <w:pStyle w:val="Normal"/>
              <w:widowControl w:val="false"/>
              <w:rPr>
                <w:b/>
                <w:sz w:val="24"/>
                <w:szCs w:val="24"/>
              </w:rPr>
            </w:pPr>
            <w:r>
              <w:rPr>
                <w:b/>
                <w:sz w:val="24"/>
                <w:szCs w:val="24"/>
              </w:rPr>
              <w:t>Поставщик:</w:t>
            </w:r>
          </w:p>
        </w:tc>
      </w:tr>
      <w:tr>
        <w:trPr/>
        <w:tc>
          <w:tcPr>
            <w:tcW w:w="4912" w:type="dxa"/>
            <w:tcBorders/>
          </w:tcPr>
          <w:p>
            <w:pPr>
              <w:pStyle w:val="Normal"/>
              <w:widowControl w:val="false"/>
              <w:rPr>
                <w:b/>
                <w:color w:val="000000"/>
                <w:sz w:val="24"/>
                <w:szCs w:val="24"/>
              </w:rPr>
            </w:pPr>
            <w:r>
              <w:rPr>
                <w:b/>
                <w:color w:val="000000"/>
                <w:sz w:val="24"/>
                <w:szCs w:val="24"/>
              </w:rPr>
              <w:t>АО «ТК РусГидро»</w:t>
            </w:r>
          </w:p>
          <w:p>
            <w:pPr>
              <w:pStyle w:val="Normal"/>
              <w:widowControl w:val="false"/>
              <w:rPr>
                <w:color w:val="000000"/>
                <w:sz w:val="24"/>
                <w:szCs w:val="24"/>
              </w:rPr>
            </w:pPr>
            <w:r>
              <w:rPr>
                <w:color w:val="000000"/>
                <w:sz w:val="24"/>
                <w:szCs w:val="24"/>
              </w:rPr>
              <w:t>Место нахождения: 655619, Республика Хакасия, г. Саяногорск, рп. Черемушки, д. № 101</w:t>
            </w:r>
          </w:p>
          <w:p>
            <w:pPr>
              <w:pStyle w:val="Normal"/>
              <w:widowControl w:val="false"/>
              <w:rPr>
                <w:color w:val="000000"/>
                <w:sz w:val="24"/>
                <w:szCs w:val="24"/>
              </w:rPr>
            </w:pPr>
            <w:r>
              <w:rPr>
                <w:color w:val="000000"/>
                <w:sz w:val="24"/>
                <w:szCs w:val="24"/>
              </w:rPr>
              <w:t>Центральный филиал АО «ТК РусГидро»</w:t>
            </w:r>
          </w:p>
          <w:p>
            <w:pPr>
              <w:pStyle w:val="Normal"/>
              <w:widowControl w:val="false"/>
              <w:rPr>
                <w:color w:val="000000"/>
                <w:sz w:val="24"/>
                <w:szCs w:val="24"/>
              </w:rPr>
            </w:pPr>
            <w:r>
              <w:rPr>
                <w:color w:val="000000"/>
                <w:sz w:val="24"/>
                <w:szCs w:val="24"/>
              </w:rPr>
              <w:t>Место нахождения и почтовый адрес: 141342, Российская Федерация, Московская область, Сергиево-Посадский район, рп. Богородское, д. 100,</w:t>
            </w:r>
          </w:p>
          <w:p>
            <w:pPr>
              <w:pStyle w:val="Normal"/>
              <w:widowControl w:val="false"/>
              <w:rPr>
                <w:color w:val="000000"/>
                <w:sz w:val="24"/>
                <w:szCs w:val="24"/>
              </w:rPr>
            </w:pPr>
            <w:r>
              <w:rPr>
                <w:color w:val="000000"/>
                <w:sz w:val="24"/>
                <w:szCs w:val="24"/>
              </w:rPr>
              <w:t>Р/с 40702810940020015572</w:t>
            </w:r>
          </w:p>
          <w:p>
            <w:pPr>
              <w:pStyle w:val="Normal"/>
              <w:widowControl w:val="false"/>
              <w:rPr>
                <w:color w:val="000000"/>
                <w:sz w:val="24"/>
                <w:szCs w:val="24"/>
              </w:rPr>
            </w:pPr>
            <w:r>
              <w:rPr>
                <w:color w:val="000000"/>
                <w:sz w:val="24"/>
                <w:szCs w:val="24"/>
              </w:rPr>
              <w:t>в ПАО «Сбербанк России», г. Москва</w:t>
            </w:r>
          </w:p>
          <w:p>
            <w:pPr>
              <w:pStyle w:val="Normal"/>
              <w:widowControl w:val="false"/>
              <w:rPr>
                <w:color w:val="000000"/>
                <w:sz w:val="24"/>
                <w:szCs w:val="24"/>
              </w:rPr>
            </w:pPr>
            <w:r>
              <w:rPr>
                <w:color w:val="000000"/>
                <w:sz w:val="24"/>
                <w:szCs w:val="24"/>
              </w:rPr>
              <w:t>к/с 30101810400000000225</w:t>
            </w:r>
          </w:p>
          <w:p>
            <w:pPr>
              <w:pStyle w:val="Normal"/>
              <w:widowControl w:val="false"/>
              <w:rPr>
                <w:color w:val="000000"/>
                <w:sz w:val="24"/>
                <w:szCs w:val="24"/>
              </w:rPr>
            </w:pPr>
            <w:r>
              <w:rPr>
                <w:color w:val="000000"/>
                <w:sz w:val="24"/>
                <w:szCs w:val="24"/>
              </w:rPr>
              <w:t>БИК 044525225</w:t>
            </w:r>
          </w:p>
          <w:p>
            <w:pPr>
              <w:pStyle w:val="Normal"/>
              <w:widowControl w:val="false"/>
              <w:rPr>
                <w:color w:val="000000"/>
                <w:sz w:val="24"/>
                <w:szCs w:val="24"/>
              </w:rPr>
            </w:pPr>
            <w:r>
              <w:rPr>
                <w:color w:val="000000"/>
                <w:sz w:val="24"/>
                <w:szCs w:val="24"/>
              </w:rPr>
              <w:t>ИНН: 1902018248</w:t>
            </w:r>
          </w:p>
          <w:p>
            <w:pPr>
              <w:pStyle w:val="Normal"/>
              <w:widowControl w:val="false"/>
              <w:rPr>
                <w:color w:val="000000"/>
                <w:sz w:val="24"/>
                <w:szCs w:val="24"/>
              </w:rPr>
            </w:pPr>
            <w:r>
              <w:rPr>
                <w:color w:val="000000"/>
                <w:sz w:val="24"/>
                <w:szCs w:val="24"/>
              </w:rPr>
              <w:t>КПП: 504 243 001</w:t>
            </w:r>
          </w:p>
          <w:p>
            <w:pPr>
              <w:pStyle w:val="Normal"/>
              <w:widowControl w:val="false"/>
              <w:rPr>
                <w:color w:val="000000"/>
                <w:sz w:val="24"/>
                <w:szCs w:val="24"/>
              </w:rPr>
            </w:pPr>
            <w:r>
              <w:rPr>
                <w:color w:val="000000"/>
                <w:sz w:val="24"/>
                <w:szCs w:val="24"/>
              </w:rPr>
              <w:t>ОГРН:1031900676356</w:t>
            </w:r>
          </w:p>
        </w:tc>
        <w:tc>
          <w:tcPr>
            <w:tcW w:w="4868" w:type="dxa"/>
            <w:tcBorders/>
            <w:shd w:color="auto" w:fill="auto" w:val="clear"/>
          </w:tcPr>
          <w:p>
            <w:pPr>
              <w:pStyle w:val="Normal"/>
              <w:widowControl w:val="false"/>
              <w:rPr>
                <w:b/>
                <w:sz w:val="24"/>
                <w:szCs w:val="24"/>
              </w:rPr>
            </w:pPr>
            <w:r>
              <w:rPr/>
            </w:r>
          </w:p>
        </w:tc>
      </w:tr>
    </w:tbl>
    <w:p>
      <w:pPr>
        <w:sectPr>
          <w:headerReference w:type="default" r:id="rId7"/>
          <w:headerReference w:type="first" r:id="rId8"/>
          <w:footnotePr>
            <w:numFmt w:val="decimal"/>
          </w:footnotePr>
          <w:type w:val="nextPage"/>
          <w:pgSz w:w="11906" w:h="16838"/>
          <w:pgMar w:left="1418" w:right="851" w:gutter="0" w:header="0" w:top="709" w:footer="0" w:bottom="1134"/>
          <w:pgNumType w:fmt="decimal"/>
          <w:formProt w:val="false"/>
          <w:textDirection w:val="lrTb"/>
          <w:docGrid w:type="default" w:linePitch="100" w:charSpace="40960"/>
        </w:sectPr>
      </w:pP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68"/>
        <w:gridCol w:w="4677"/>
        <w:gridCol w:w="236"/>
      </w:tblGrid>
      <w:tr>
        <w:trPr/>
        <w:tc>
          <w:tcPr>
            <w:tcW w:w="4868"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Ио.директора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О.Н. Захаров</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c>
          <w:tcPr>
            <w:tcW w:w="4677" w:type="dxa"/>
            <w:tcBorders/>
          </w:tcPr>
          <w:p>
            <w:pPr>
              <w:pStyle w:val="Normal"/>
              <w:widowControl w:val="false"/>
              <w:rPr>
                <w:sz w:val="24"/>
                <w:szCs w:val="24"/>
              </w:rPr>
            </w:pPr>
            <w:r>
              <w:rPr>
                <w:sz w:val="24"/>
                <w:szCs w:val="24"/>
              </w:rPr>
            </w:r>
          </w:p>
          <w:p>
            <w:pPr>
              <w:pStyle w:val="Normal"/>
              <w:widowControl w:val="false"/>
              <w:rPr>
                <w:sz w:val="24"/>
                <w:szCs w:val="24"/>
              </w:rPr>
            </w:pPr>
            <w:r>
              <w:rPr/>
            </w:r>
          </w:p>
        </w:tc>
        <w:tc>
          <w:tcPr>
            <w:tcW w:w="236" w:type="dxa"/>
            <w:tcBorders/>
          </w:tcPr>
          <w:p>
            <w:pPr>
              <w:pStyle w:val="Normal"/>
              <w:widowControl w:val="false"/>
              <w:rPr/>
            </w:pPr>
            <w:r>
              <w:rPr/>
            </w:r>
          </w:p>
        </w:tc>
      </w:tr>
    </w:tbl>
    <w:p>
      <w:pPr>
        <w:sectPr>
          <w:headerReference w:type="default" r:id="rId9"/>
          <w:headerReference w:type="first" r:id="rId10"/>
          <w:footnotePr>
            <w:numFmt w:val="decimal"/>
          </w:footnotePr>
          <w:type w:val="nextPage"/>
          <w:pgSz w:w="11906" w:h="16838"/>
          <w:pgMar w:left="1418" w:right="851" w:gutter="0" w:header="0" w:top="709" w:footer="0" w:bottom="1134"/>
          <w:pgNumType w:fmt="decimal"/>
          <w:formProt w:val="false"/>
          <w:textDirection w:val="lrTb"/>
          <w:docGrid w:type="default" w:linePitch="100" w:charSpace="40960"/>
        </w:sectPr>
        <w:pStyle w:val="Normal"/>
        <w:rPr/>
      </w:pPr>
      <w:r>
        <w:rPr/>
      </w:r>
    </w:p>
    <w:p>
      <w:pPr>
        <w:pStyle w:val="Normal"/>
        <w:jc w:val="right"/>
        <w:rPr>
          <w:sz w:val="28"/>
          <w:szCs w:val="28"/>
        </w:rPr>
      </w:pPr>
      <w:r>
        <w:rPr>
          <w:sz w:val="22"/>
          <w:szCs w:val="22"/>
        </w:rPr>
        <w:t>Приложение № 1</w:t>
      </w:r>
    </w:p>
    <w:p>
      <w:pPr>
        <w:pStyle w:val="Normal"/>
        <w:jc w:val="right"/>
        <w:rPr>
          <w:sz w:val="22"/>
          <w:szCs w:val="22"/>
        </w:rPr>
      </w:pPr>
      <w:r>
        <w:rPr>
          <w:sz w:val="22"/>
          <w:szCs w:val="22"/>
        </w:rPr>
        <w:t xml:space="preserve">к Договору поставки №        </w:t>
      </w:r>
      <w:r>
        <w:rPr>
          <w:sz w:val="24"/>
          <w:szCs w:val="24"/>
        </w:rPr>
        <w:t>/2026/ЦФ/Рм</w:t>
      </w:r>
    </w:p>
    <w:p>
      <w:pPr>
        <w:pStyle w:val="Normal"/>
        <w:ind w:firstLine="4820"/>
        <w:jc w:val="right"/>
        <w:rPr>
          <w:sz w:val="22"/>
          <w:szCs w:val="22"/>
        </w:rPr>
      </w:pPr>
      <w:r>
        <w:rPr>
          <w:sz w:val="22"/>
          <w:szCs w:val="22"/>
        </w:rPr>
        <w:t>от «____» _____20 _ г. № _____</w:t>
      </w:r>
    </w:p>
    <w:p>
      <w:pPr>
        <w:pStyle w:val="Normal"/>
        <w:ind w:firstLine="709"/>
        <w:rPr>
          <w:rFonts w:eastAsia="Calibri"/>
          <w:b/>
          <w:lang w:eastAsia="en-US"/>
        </w:rPr>
      </w:pPr>
      <w:r>
        <w:rPr>
          <w:rFonts w:eastAsia="Calibri"/>
          <w:b/>
          <w:lang w:eastAsia="en-US"/>
        </w:rPr>
      </w:r>
    </w:p>
    <w:p>
      <w:pPr>
        <w:pStyle w:val="Normal"/>
        <w:ind w:firstLine="709"/>
        <w:jc w:val="center"/>
        <w:rPr>
          <w:b/>
        </w:rPr>
      </w:pPr>
      <w:r>
        <w:rPr>
          <w:b/>
        </w:rPr>
      </w:r>
    </w:p>
    <w:p>
      <w:pPr>
        <w:pStyle w:val="Normal"/>
        <w:ind w:firstLine="709"/>
        <w:jc w:val="center"/>
        <w:rPr>
          <w:b/>
        </w:rPr>
      </w:pPr>
      <w:r>
        <w:rPr>
          <w:b/>
        </w:rPr>
      </w:r>
    </w:p>
    <w:p>
      <w:pPr>
        <w:pStyle w:val="Normal"/>
        <w:jc w:val="center"/>
        <w:rPr>
          <w:b/>
        </w:rPr>
      </w:pPr>
      <w:r>
        <w:rPr>
          <w:b/>
          <w:sz w:val="24"/>
          <w:szCs w:val="24"/>
        </w:rPr>
        <w:t xml:space="preserve">СПЕЦИФИКАЦИЯ </w:t>
      </w:r>
    </w:p>
    <w:p>
      <w:pPr>
        <w:pStyle w:val="Normal"/>
        <w:jc w:val="center"/>
        <w:rPr>
          <w:b/>
        </w:rPr>
      </w:pPr>
      <w:r>
        <w:rPr>
          <w:b/>
        </w:rPr>
      </w:r>
    </w:p>
    <w:tbl>
      <w:tblPr>
        <w:tblW w:w="15081" w:type="dxa"/>
        <w:jc w:val="left"/>
        <w:tblInd w:w="-601" w:type="dxa"/>
        <w:tblLayout w:type="fixed"/>
        <w:tblCellMar>
          <w:top w:w="0" w:type="dxa"/>
          <w:left w:w="108" w:type="dxa"/>
          <w:bottom w:w="0" w:type="dxa"/>
          <w:right w:w="108" w:type="dxa"/>
        </w:tblCellMar>
        <w:tblLook w:val="0000" w:noHBand="0" w:noVBand="0" w:firstColumn="0" w:lastRow="0" w:lastColumn="0" w:firstRow="0"/>
      </w:tblPr>
      <w:tblGrid>
        <w:gridCol w:w="693"/>
        <w:gridCol w:w="415"/>
        <w:gridCol w:w="1659"/>
        <w:gridCol w:w="778"/>
        <w:gridCol w:w="787"/>
        <w:gridCol w:w="1272"/>
        <w:gridCol w:w="1297"/>
        <w:gridCol w:w="983"/>
        <w:gridCol w:w="685"/>
        <w:gridCol w:w="966"/>
        <w:gridCol w:w="1584"/>
        <w:gridCol w:w="1366"/>
        <w:gridCol w:w="1416"/>
        <w:gridCol w:w="1179"/>
      </w:tblGrid>
      <w:tr>
        <w:trPr>
          <w:trHeight w:val="526" w:hRule="atLeast"/>
        </w:trPr>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16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7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3"/>
            </w:r>
          </w:p>
        </w:tc>
        <w:tc>
          <w:tcPr>
            <w:tcW w:w="12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15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(22%) руб.</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bookmarkStart w:id="15" w:name="_GoBack"/>
            <w:r>
              <w:rPr>
                <w:bCs/>
              </w:rPr>
              <w:t>Перечень сопроводительных документов (в том числе подтверждающих качество Товара)</w:t>
            </w:r>
            <w:bookmarkEnd w:id="15"/>
          </w:p>
        </w:tc>
      </w:tr>
      <w:tr>
        <w:trPr>
          <w:trHeight w:val="538" w:hRule="atLeast"/>
        </w:trPr>
        <w:tc>
          <w:tcPr>
            <w:tcW w:w="693" w:type="dxa"/>
            <w:tcBorders>
              <w:left w:val="single" w:sz="4" w:space="0" w:color="000000"/>
              <w:bottom w:val="single" w:sz="4" w:space="0" w:color="000000"/>
              <w:right w:val="single" w:sz="4" w:space="0" w:color="000000"/>
            </w:tcBorders>
            <w:vAlign w:val="center"/>
          </w:tcPr>
          <w:p>
            <w:pPr>
              <w:pStyle w:val="Normal"/>
              <w:widowControl w:val="false"/>
              <w:jc w:val="center"/>
              <w:rPr>
                <w:bCs/>
                <w:shd w:fill="C0C0C0" w:val="clear"/>
              </w:rPr>
            </w:pPr>
            <w:r>
              <w:rPr>
                <w:bCs/>
                <w:shd w:fill="C0C0C0" w:val="clear"/>
              </w:rPr>
              <w:t>1</w:t>
            </w:r>
          </w:p>
        </w:tc>
        <w:tc>
          <w:tcPr>
            <w:tcW w:w="415" w:type="dxa"/>
            <w:tcBorders>
              <w:left w:val="single" w:sz="4" w:space="0" w:color="000000"/>
              <w:bottom w:val="single" w:sz="4" w:space="0" w:color="000000"/>
              <w:right w:val="single" w:sz="4" w:space="0" w:color="000000"/>
            </w:tcBorders>
            <w:vAlign w:val="center"/>
          </w:tcPr>
          <w:p>
            <w:pPr>
              <w:pStyle w:val="Normal"/>
              <w:widowControl w:val="false"/>
              <w:rPr>
                <w:shd w:fill="C0C0C0" w:val="clear"/>
              </w:rPr>
            </w:pPr>
            <w:r>
              <w:rPr>
                <w:shd w:fill="C0C0C0" w:val="clear"/>
              </w:rPr>
              <w:t>1</w:t>
            </w:r>
          </w:p>
        </w:tc>
        <w:tc>
          <w:tcPr>
            <w:tcW w:w="1659" w:type="dxa"/>
            <w:tcBorders>
              <w:left w:val="single" w:sz="4" w:space="0" w:color="000000"/>
              <w:bottom w:val="single" w:sz="4" w:space="0" w:color="000000"/>
              <w:right w:val="single" w:sz="4" w:space="0" w:color="000000"/>
            </w:tcBorders>
            <w:vAlign w:val="center"/>
          </w:tcPr>
          <w:p>
            <w:pPr>
              <w:pStyle w:val="Normal"/>
              <w:keepNext w:val="true"/>
              <w:keepLines/>
              <w:widowControl w:val="false"/>
              <w:jc w:val="center"/>
              <w:rPr>
                <w:rFonts w:eastAsia="Calibri"/>
                <w:sz w:val="24"/>
                <w:szCs w:val="24"/>
              </w:rPr>
            </w:pPr>
            <w:r>
              <w:rPr>
                <w:rFonts w:eastAsia="Calibri"/>
                <w:bCs/>
                <w:color w:val="000000"/>
                <w:sz w:val="24"/>
                <w:szCs w:val="24"/>
                <w:lang w:eastAsia="en-US"/>
              </w:rPr>
              <w:t xml:space="preserve">Щебеночно-песчаная смесь </w:t>
            </w:r>
          </w:p>
        </w:tc>
        <w:tc>
          <w:tcPr>
            <w:tcW w:w="778" w:type="dxa"/>
            <w:tcBorders>
              <w:left w:val="single" w:sz="4" w:space="0" w:color="000000"/>
              <w:bottom w:val="single" w:sz="4" w:space="0" w:color="000000"/>
              <w:right w:val="single" w:sz="4" w:space="0" w:color="000000"/>
            </w:tcBorders>
          </w:tcPr>
          <w:p>
            <w:pPr>
              <w:pStyle w:val="Normal"/>
              <w:widowControl w:val="false"/>
              <w:rPr/>
            </w:pPr>
            <w:r>
              <w:rPr/>
              <w:t>С6</w:t>
            </w:r>
          </w:p>
        </w:tc>
        <w:tc>
          <w:tcPr>
            <w:tcW w:w="787" w:type="dxa"/>
            <w:tcBorders>
              <w:left w:val="single" w:sz="4" w:space="0" w:color="000000"/>
              <w:bottom w:val="single" w:sz="4" w:space="0" w:color="000000"/>
              <w:right w:val="single" w:sz="4" w:space="0" w:color="000000"/>
            </w:tcBorders>
          </w:tcPr>
          <w:p>
            <w:pPr>
              <w:pStyle w:val="Normal"/>
              <w:widowControl w:val="false"/>
              <w:rPr>
                <w:shd w:fill="FFFF00" w:val="clear"/>
              </w:rPr>
            </w:pPr>
            <w:r>
              <w:rPr>
                <w:shd w:fill="FFFF00" w:val="clear"/>
              </w:rPr>
            </w:r>
          </w:p>
        </w:tc>
        <w:tc>
          <w:tcPr>
            <w:tcW w:w="1272" w:type="dxa"/>
            <w:tcBorders>
              <w:left w:val="single" w:sz="4" w:space="0" w:color="000000"/>
              <w:bottom w:val="single" w:sz="4" w:space="0" w:color="000000"/>
              <w:right w:val="single" w:sz="4" w:space="0" w:color="000000"/>
            </w:tcBorders>
            <w:vAlign w:val="center"/>
          </w:tcPr>
          <w:p>
            <w:pPr>
              <w:pStyle w:val="Normal"/>
              <w:widowControl w:val="false"/>
              <w:jc w:val="center"/>
              <w:rPr/>
            </w:pPr>
            <w:r>
              <w:rPr/>
              <w:t>РФ</w:t>
            </w:r>
          </w:p>
        </w:tc>
        <w:tc>
          <w:tcPr>
            <w:tcW w:w="1297" w:type="dxa"/>
            <w:tcBorders>
              <w:left w:val="single" w:sz="4" w:space="0" w:color="000000"/>
              <w:bottom w:val="single" w:sz="4" w:space="0" w:color="000000"/>
              <w:right w:val="single" w:sz="4" w:space="0" w:color="000000"/>
            </w:tcBorders>
            <w:vAlign w:val="center"/>
          </w:tcPr>
          <w:p>
            <w:pPr>
              <w:pStyle w:val="Normal"/>
              <w:keepNext w:val="true"/>
              <w:keepLines/>
              <w:widowControl w:val="false"/>
              <w:jc w:val="center"/>
              <w:rPr>
                <w:sz w:val="20"/>
                <w:szCs w:val="20"/>
              </w:rPr>
            </w:pPr>
            <w:r>
              <w:rPr>
                <w:rFonts w:eastAsia="Calibri"/>
                <w:color w:val="000000"/>
                <w:sz w:val="20"/>
                <w:szCs w:val="20"/>
              </w:rPr>
              <w:t>08.12.12.1</w:t>
            </w:r>
            <w:r>
              <w:rPr>
                <w:rFonts w:eastAsia="Calibri"/>
                <w:color w:val="000000"/>
                <w:sz w:val="20"/>
                <w:szCs w:val="20"/>
              </w:rPr>
              <w:t>6</w:t>
            </w:r>
            <w:r>
              <w:rPr>
                <w:rFonts w:eastAsia="Calibri"/>
                <w:color w:val="000000"/>
                <w:sz w:val="20"/>
                <w:szCs w:val="20"/>
              </w:rPr>
              <w:t>0</w:t>
            </w:r>
          </w:p>
        </w:tc>
        <w:tc>
          <w:tcPr>
            <w:tcW w:w="983" w:type="dxa"/>
            <w:tcBorders>
              <w:left w:val="single" w:sz="4" w:space="0" w:color="000000"/>
              <w:bottom w:val="single" w:sz="4" w:space="0" w:color="000000"/>
              <w:right w:val="single" w:sz="4" w:space="0" w:color="000000"/>
            </w:tcBorders>
            <w:vAlign w:val="center"/>
          </w:tcPr>
          <w:p>
            <w:pPr>
              <w:pStyle w:val="Normal"/>
              <w:widowControl w:val="false"/>
              <w:jc w:val="center"/>
              <w:rPr/>
            </w:pPr>
            <w:r>
              <w:rPr/>
              <w:t>м3</w:t>
            </w:r>
          </w:p>
        </w:tc>
        <w:tc>
          <w:tcPr>
            <w:tcW w:w="685" w:type="dxa"/>
            <w:tcBorders>
              <w:left w:val="single" w:sz="4" w:space="0" w:color="000000"/>
              <w:bottom w:val="single" w:sz="4" w:space="0" w:color="000000"/>
              <w:right w:val="single" w:sz="4" w:space="0" w:color="000000"/>
            </w:tcBorders>
            <w:vAlign w:val="center"/>
          </w:tcPr>
          <w:p>
            <w:pPr>
              <w:pStyle w:val="Normal"/>
              <w:widowControl w:val="false"/>
              <w:rPr/>
            </w:pPr>
            <w:r>
              <w:rPr/>
              <w:t>15</w:t>
            </w:r>
            <w:r>
              <w:rPr/>
              <w:t>00</w:t>
            </w:r>
          </w:p>
        </w:tc>
        <w:tc>
          <w:tcPr>
            <w:tcW w:w="966" w:type="dxa"/>
            <w:tcBorders>
              <w:left w:val="single" w:sz="4" w:space="0" w:color="000000"/>
              <w:bottom w:val="single" w:sz="4" w:space="0" w:color="000000"/>
              <w:right w:val="single" w:sz="4" w:space="0" w:color="000000"/>
            </w:tcBorders>
            <w:vAlign w:val="center"/>
          </w:tcPr>
          <w:p>
            <w:pPr>
              <w:pStyle w:val="Normal"/>
              <w:widowControl w:val="false"/>
              <w:rPr/>
            </w:pPr>
            <w:r>
              <w:rPr/>
            </w:r>
          </w:p>
        </w:tc>
        <w:tc>
          <w:tcPr>
            <w:tcW w:w="1584" w:type="dxa"/>
            <w:tcBorders>
              <w:left w:val="single" w:sz="4" w:space="0" w:color="000000"/>
              <w:bottom w:val="single" w:sz="4" w:space="0" w:color="000000"/>
              <w:right w:val="single" w:sz="4" w:space="0" w:color="000000"/>
            </w:tcBorders>
            <w:vAlign w:val="center"/>
          </w:tcPr>
          <w:p>
            <w:pPr>
              <w:pStyle w:val="Normal"/>
              <w:widowControl w:val="false"/>
              <w:rPr/>
            </w:pPr>
            <w:r>
              <w:rPr/>
            </w:r>
          </w:p>
        </w:tc>
        <w:tc>
          <w:tcPr>
            <w:tcW w:w="1366" w:type="dxa"/>
            <w:tcBorders>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416" w:type="dxa"/>
            <w:tcBorders>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bl>
    <w:p>
      <w:pPr>
        <w:pStyle w:val="Normal"/>
        <w:rPr>
          <w:i/>
          <w:i/>
          <w:shd w:fill="FFFF00" w:val="clear"/>
        </w:rPr>
      </w:pPr>
      <w:r>
        <w:rPr>
          <w:i/>
          <w:shd w:fill="FFFF00" w:val="clear"/>
        </w:rPr>
      </w:r>
    </w:p>
    <w:p>
      <w:pPr>
        <w:pStyle w:val="Normal"/>
        <w:rPr>
          <w:i/>
          <w:i/>
          <w:sz w:val="22"/>
          <w:szCs w:val="22"/>
          <w:shd w:fill="C0C0C0" w:val="clear"/>
        </w:rPr>
      </w:pPr>
      <w:r>
        <w:rPr>
          <w:i/>
          <w:sz w:val="22"/>
          <w:szCs w:val="22"/>
          <w:shd w:fill="C0C0C0"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shd w:fill="C0C0C0" w:val="clear"/>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jc w:val="both"/>
        <w:rPr>
          <w:i/>
          <w:i/>
        </w:rPr>
      </w:pPr>
      <w:r>
        <w:rPr>
          <w:i/>
          <w:sz w:val="24"/>
          <w:szCs w:val="24"/>
          <w:shd w:fill="C0C0C0" w:val="clear"/>
        </w:rPr>
        <w:t>]</w:t>
      </w:r>
    </w:p>
    <w:p>
      <w:pPr>
        <w:sectPr>
          <w:headerReference w:type="default" r:id="rId11"/>
          <w:headerReference w:type="first" r:id="rId12"/>
          <w:footnotePr>
            <w:numFmt w:val="decimal"/>
          </w:footnotePr>
          <w:type w:val="nextPage"/>
          <w:pgSz w:orient="landscape" w:w="16838" w:h="11906"/>
          <w:pgMar w:left="1134" w:right="1134" w:gutter="0" w:header="0" w:top="1418" w:footer="0" w:bottom="851"/>
          <w:pgNumType w:fmt="decimal"/>
          <w:formProt w:val="false"/>
          <w:textDirection w:val="lrTb"/>
          <w:docGrid w:type="default" w:linePitch="272" w:charSpace="40960"/>
        </w:sectPr>
        <w:pStyle w:val="Normal"/>
        <w:ind w:firstLine="709"/>
        <w:jc w:val="both"/>
        <w:rPr>
          <w:i/>
          <w:i/>
        </w:rPr>
      </w:pPr>
      <w:r>
        <w:rPr>
          <w:i/>
          <w:sz w:val="24"/>
          <w:szCs w:val="24"/>
        </w:rPr>
        <w:t xml:space="preserve"> </w:t>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4"/>
        <w:gridCol w:w="4896"/>
      </w:tblGrid>
      <w:tr>
        <w:trPr/>
        <w:tc>
          <w:tcPr>
            <w:tcW w:w="4884" w:type="dxa"/>
            <w:tcBorders/>
          </w:tcPr>
          <w:p>
            <w:pPr>
              <w:pStyle w:val="Normal"/>
              <w:widowControl w:val="false"/>
              <w:jc w:val="center"/>
              <w:rPr>
                <w:b/>
                <w:bCs/>
              </w:rPr>
            </w:pPr>
            <w:r>
              <w:rPr>
                <w:b/>
                <w:bCs/>
              </w:rPr>
            </w:r>
          </w:p>
          <w:p>
            <w:pPr>
              <w:pStyle w:val="Normal"/>
              <w:widowControl w:val="false"/>
              <w:jc w:val="center"/>
              <w:rPr/>
            </w:pPr>
            <w:r>
              <w:rPr>
                <w:b/>
                <w:bCs/>
                <w:sz w:val="24"/>
                <w:szCs w:val="24"/>
              </w:rPr>
              <w:t xml:space="preserve">                                   </w:t>
            </w:r>
            <w:r>
              <w:rPr>
                <w:b/>
                <w:bCs/>
                <w:sz w:val="24"/>
                <w:szCs w:val="24"/>
              </w:rPr>
              <w:t>ПОДПИСИ СТОРОН:</w:t>
            </w:r>
          </w:p>
          <w:p>
            <w:pPr>
              <w:pStyle w:val="Normal"/>
              <w:widowControl w:val="false"/>
              <w:rPr/>
            </w:pPr>
            <w:r>
              <w:rPr/>
            </w:r>
          </w:p>
          <w:p>
            <w:pPr>
              <w:pStyle w:val="Normal"/>
              <w:widowControl w:val="false"/>
              <w:rPr/>
            </w:pPr>
            <w:r>
              <w:rPr>
                <w:sz w:val="24"/>
                <w:szCs w:val="24"/>
              </w:rPr>
              <w:t>И.о. директора Центрального филиала</w:t>
            </w:r>
          </w:p>
          <w:p>
            <w:pPr>
              <w:pStyle w:val="Normal"/>
              <w:widowControl w:val="false"/>
              <w:rPr/>
            </w:pPr>
            <w:r>
              <w:rPr>
                <w:sz w:val="24"/>
                <w:szCs w:val="24"/>
              </w:rPr>
              <w:t>АО «ТК РусГидро»</w:t>
            </w:r>
          </w:p>
          <w:p>
            <w:pPr>
              <w:pStyle w:val="Normal"/>
              <w:widowControl w:val="false"/>
              <w:rPr/>
            </w:pPr>
            <w:r>
              <w:rPr/>
            </w:r>
          </w:p>
          <w:p>
            <w:pPr>
              <w:pStyle w:val="Normal"/>
              <w:widowControl w:val="false"/>
              <w:rPr/>
            </w:pPr>
            <w:r>
              <w:rPr/>
            </w:r>
          </w:p>
          <w:p>
            <w:pPr>
              <w:pStyle w:val="Normal"/>
              <w:widowControl w:val="false"/>
              <w:rPr/>
            </w:pPr>
            <w:r>
              <w:rPr>
                <w:sz w:val="24"/>
                <w:szCs w:val="24"/>
              </w:rPr>
              <w:t>_______________ / О.Н. Захаров</w:t>
            </w:r>
          </w:p>
          <w:p>
            <w:pPr>
              <w:pStyle w:val="Normal"/>
              <w:widowControl w:val="false"/>
              <w:rPr/>
            </w:pPr>
            <w:r>
              <w:rPr/>
            </w:r>
          </w:p>
        </w:tc>
        <w:tc>
          <w:tcPr>
            <w:tcW w:w="4896" w:type="dxa"/>
            <w:tcBorders/>
          </w:tcPr>
          <w:p>
            <w:pPr>
              <w:pStyle w:val="Normal"/>
              <w:widowControl w:val="false"/>
              <w:rPr/>
            </w:pPr>
            <w:r>
              <w:rPr/>
            </w:r>
          </w:p>
          <w:p>
            <w:pPr>
              <w:pStyle w:val="Normal"/>
              <w:widowControl w:val="false"/>
              <w:rPr>
                <w:sz w:val="24"/>
                <w:szCs w:val="24"/>
              </w:rPr>
            </w:pPr>
            <w:r>
              <w:rPr/>
            </w:r>
          </w:p>
        </w:tc>
      </w:tr>
    </w:tbl>
    <w:p>
      <w:pPr>
        <w:sectPr>
          <w:headerReference w:type="default" r:id="rId13"/>
          <w:headerReference w:type="first" r:id="rId14"/>
          <w:footnotePr>
            <w:numFmt w:val="decimal"/>
          </w:footnotePr>
          <w:type w:val="nextPage"/>
          <w:pgSz w:orient="landscape" w:w="16838" w:h="11906"/>
          <w:pgMar w:left="1134" w:right="1134" w:gutter="0" w:header="0" w:top="1418" w:footer="0" w:bottom="851"/>
          <w:pgNumType w:fmt="decimal"/>
          <w:formProt w:val="false"/>
          <w:textDirection w:val="lrTb"/>
          <w:docGrid w:type="default" w:linePitch="272" w:charSpace="40960"/>
        </w:sectPr>
        <w:pStyle w:val="Normal"/>
        <w:rPr/>
      </w:pPr>
      <w:r>
        <w:rPr/>
      </w:r>
    </w:p>
    <w:p>
      <w:pPr>
        <w:pStyle w:val="Normal"/>
        <w:ind w:firstLine="4820"/>
        <w:jc w:val="right"/>
        <w:rPr>
          <w:sz w:val="22"/>
          <w:szCs w:val="22"/>
        </w:rPr>
      </w:pPr>
      <w:r>
        <w:rPr>
          <w:sz w:val="22"/>
          <w:szCs w:val="22"/>
        </w:rPr>
        <w:t>Приложение № 2</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t xml:space="preserve"> </w:t>
      </w:r>
    </w:p>
    <w:p>
      <w:pPr>
        <w:pStyle w:val="Normal"/>
        <w:tabs>
          <w:tab w:val="clear" w:pos="708"/>
          <w:tab w:val="left" w:pos="1843" w:leader="none"/>
          <w:tab w:val="left" w:pos="4395" w:leader="none"/>
        </w:tabs>
        <w:rPr>
          <w:i/>
          <w:i/>
          <w:sz w:val="24"/>
          <w:szCs w:val="24"/>
        </w:rPr>
      </w:pPr>
      <w:r>
        <w:rPr>
          <w:i/>
          <w:sz w:val="24"/>
          <w:szCs w:val="24"/>
        </w:rPr>
      </w:r>
    </w:p>
    <w:p>
      <w:pPr>
        <w:pStyle w:val="Normal"/>
        <w:tabs>
          <w:tab w:val="clear" w:pos="708"/>
          <w:tab w:val="left" w:pos="2700" w:leader="none"/>
        </w:tabs>
        <w:jc w:val="center"/>
        <w:rPr>
          <w:b/>
          <w:sz w:val="24"/>
          <w:szCs w:val="24"/>
        </w:rPr>
      </w:pPr>
      <w:r>
        <w:rPr>
          <w:b/>
          <w:sz w:val="24"/>
          <w:szCs w:val="24"/>
        </w:rPr>
        <w:t xml:space="preserve">Заявка </w:t>
      </w:r>
    </w:p>
    <w:p>
      <w:pPr>
        <w:pStyle w:val="Normal"/>
        <w:tabs>
          <w:tab w:val="clear" w:pos="708"/>
          <w:tab w:val="left" w:pos="1843" w:leader="none"/>
        </w:tabs>
        <w:ind w:firstLine="709"/>
        <w:jc w:val="center"/>
        <w:rPr>
          <w:b/>
          <w:sz w:val="24"/>
          <w:szCs w:val="24"/>
        </w:rPr>
      </w:pPr>
      <w:r>
        <w:rPr>
          <w:b/>
          <w:sz w:val="24"/>
          <w:szCs w:val="24"/>
        </w:rPr>
        <w:t>на поставку Товара</w:t>
      </w:r>
    </w:p>
    <w:p>
      <w:pPr>
        <w:pStyle w:val="Normal"/>
        <w:tabs>
          <w:tab w:val="clear" w:pos="708"/>
          <w:tab w:val="left" w:pos="1843" w:leader="none"/>
          <w:tab w:val="left" w:pos="4395" w:leader="none"/>
        </w:tabs>
        <w:ind w:firstLine="709"/>
        <w:rPr>
          <w:i/>
          <w:i/>
          <w:sz w:val="24"/>
          <w:szCs w:val="24"/>
        </w:rPr>
      </w:pPr>
      <w:r>
        <w:rPr>
          <w:i/>
          <w:sz w:val="24"/>
          <w:szCs w:val="24"/>
        </w:rPr>
        <w:t xml:space="preserve">                                                           </w:t>
      </w:r>
      <w:r>
        <w:rPr>
          <w:i/>
          <w:sz w:val="24"/>
          <w:szCs w:val="24"/>
        </w:rPr>
        <w:t>(форма)</w:t>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 xml:space="preserve">по договору поставки №______________ от «____» _____201_ г. </w:t>
      </w:r>
    </w:p>
    <w:p>
      <w:pPr>
        <w:pStyle w:val="Normal"/>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137" w:type="dxa"/>
        <w:tblLayout w:type="fixed"/>
        <w:tblCellMar>
          <w:top w:w="0" w:type="dxa"/>
          <w:left w:w="108" w:type="dxa"/>
          <w:bottom w:w="0" w:type="dxa"/>
          <w:right w:w="108" w:type="dxa"/>
        </w:tblCellMar>
        <w:tblLook w:val="04a0" w:noHBand="0" w:noVBand="1" w:firstColumn="1" w:lastRow="0" w:lastColumn="0" w:firstRow="1"/>
      </w:tblPr>
      <w:tblGrid>
        <w:gridCol w:w="547"/>
        <w:gridCol w:w="1017"/>
        <w:gridCol w:w="1156"/>
        <w:gridCol w:w="733"/>
        <w:gridCol w:w="1103"/>
        <w:gridCol w:w="1216"/>
        <w:gridCol w:w="1018"/>
        <w:gridCol w:w="1458"/>
        <w:gridCol w:w="864"/>
        <w:gridCol w:w="870"/>
      </w:tblGrid>
      <w:tr>
        <w:trPr>
          <w:trHeight w:val="543" w:hRule="atLeast"/>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п/п</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Количество</w:t>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10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5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1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5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5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1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5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982"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jc w:val="center"/>
        <w:rPr>
          <w:i/>
          <w:i/>
          <w:sz w:val="24"/>
          <w:szCs w:val="24"/>
        </w:rPr>
      </w:pPr>
      <w:r>
        <w:rPr>
          <w:i/>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5"/>
        <w:gridCol w:w="4895"/>
      </w:tblGrid>
      <w:tr>
        <w:trPr/>
        <w:tc>
          <w:tcPr>
            <w:tcW w:w="4885"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pPr>
            <w:r>
              <w:rPr>
                <w:sz w:val="24"/>
                <w:szCs w:val="24"/>
              </w:rPr>
              <w:t>И.о. директора Центрального филиала</w:t>
            </w:r>
          </w:p>
          <w:p>
            <w:pPr>
              <w:pStyle w:val="Normal"/>
              <w:widowControl w:val="false"/>
              <w:rPr/>
            </w:pPr>
            <w:r>
              <w:rPr>
                <w:sz w:val="24"/>
                <w:szCs w:val="24"/>
              </w:rPr>
              <w:t>АО «ТК РусГидро»</w:t>
            </w:r>
          </w:p>
          <w:p>
            <w:pPr>
              <w:pStyle w:val="Normal"/>
              <w:widowControl w:val="false"/>
              <w:rPr/>
            </w:pPr>
            <w:r>
              <w:rPr/>
            </w:r>
          </w:p>
          <w:p>
            <w:pPr>
              <w:pStyle w:val="Normal"/>
              <w:widowControl w:val="false"/>
              <w:rPr/>
            </w:pPr>
            <w:r>
              <w:rPr/>
            </w:r>
          </w:p>
          <w:p>
            <w:pPr>
              <w:pStyle w:val="Normal"/>
              <w:widowControl w:val="false"/>
              <w:rPr/>
            </w:pPr>
            <w:r>
              <w:rPr>
                <w:sz w:val="24"/>
                <w:szCs w:val="24"/>
              </w:rPr>
              <w:t>_______________ / О.Н. Захаров</w:t>
            </w:r>
          </w:p>
          <w:p>
            <w:pPr>
              <w:pStyle w:val="Normal"/>
              <w:widowControl w:val="false"/>
              <w:rPr>
                <w:sz w:val="24"/>
                <w:szCs w:val="24"/>
              </w:rPr>
            </w:pPr>
            <w:r>
              <w:rPr>
                <w:sz w:val="24"/>
                <w:szCs w:val="24"/>
              </w:rPr>
            </w:r>
          </w:p>
        </w:tc>
        <w:tc>
          <w:tcPr>
            <w:tcW w:w="4895"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r>
          </w:p>
        </w:tc>
      </w:tr>
    </w:tbl>
    <w:p>
      <w:pPr>
        <w:pStyle w:val="Normal"/>
        <w:numPr>
          <w:ilvl w:val="0"/>
          <w:numId w:val="0"/>
        </w:numPr>
        <w:ind w:left="0" w:hanging="0"/>
        <w:outlineLvl w:val="0"/>
        <w:rPr>
          <w:bCs/>
          <w:sz w:val="24"/>
          <w:szCs w:val="24"/>
        </w:rPr>
      </w:pPr>
      <w:r>
        <w:rPr>
          <w:bCs/>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t>Приложение № 3</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r>
    </w:p>
    <w:p>
      <w:pPr>
        <w:pStyle w:val="Normal"/>
        <w:widowControl/>
        <w:shd w:val="clear" w:color="auto" w:fill="FFFFFF"/>
        <w:tabs>
          <w:tab w:val="clear" w:pos="708"/>
          <w:tab w:val="left" w:pos="1418" w:leader="none"/>
        </w:tabs>
        <w:ind w:firstLine="709"/>
        <w:jc w:val="center"/>
        <w:rPr>
          <w:bCs/>
          <w:sz w:val="24"/>
          <w:szCs w:val="24"/>
        </w:rPr>
      </w:pPr>
      <w:r>
        <w:rPr>
          <w:bCs/>
          <w:sz w:val="24"/>
          <w:szCs w:val="24"/>
        </w:rPr>
      </w:r>
    </w:p>
    <w:p>
      <w:pPr>
        <w:pStyle w:val="Normal"/>
        <w:widowControl/>
        <w:ind w:firstLine="709"/>
        <w:rPr>
          <w:sz w:val="24"/>
          <w:szCs w:val="24"/>
          <w:lang w:eastAsia="en-US"/>
        </w:rPr>
      </w:pPr>
      <w:r>
        <w:rPr>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113" w:type="dxa"/>
        <w:tblLayout w:type="fixed"/>
        <w:tblCellMar>
          <w:top w:w="0" w:type="dxa"/>
          <w:left w:w="108" w:type="dxa"/>
          <w:bottom w:w="0" w:type="dxa"/>
          <w:right w:w="108" w:type="dxa"/>
        </w:tblCellMar>
        <w:tblLook w:val="01e0" w:noHBand="0" w:noVBand="0" w:firstColumn="1" w:lastRow="1" w:lastColumn="1" w:firstRow="1"/>
      </w:tblPr>
      <w:tblGrid>
        <w:gridCol w:w="3959"/>
        <w:gridCol w:w="6023"/>
      </w:tblGrid>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5"/>
        <w:gridCol w:w="4895"/>
      </w:tblGrid>
      <w:tr>
        <w:trPr/>
        <w:tc>
          <w:tcPr>
            <w:tcW w:w="4885"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pPr>
            <w:r>
              <w:rPr>
                <w:sz w:val="24"/>
                <w:szCs w:val="24"/>
              </w:rPr>
              <w:t>И.о. директора Центрального филиала</w:t>
            </w:r>
          </w:p>
          <w:p>
            <w:pPr>
              <w:pStyle w:val="Normal"/>
              <w:widowControl w:val="false"/>
              <w:rPr/>
            </w:pPr>
            <w:r>
              <w:rPr>
                <w:sz w:val="24"/>
                <w:szCs w:val="24"/>
              </w:rPr>
              <w:t>АО «ТК РусГидро»</w:t>
            </w:r>
          </w:p>
          <w:p>
            <w:pPr>
              <w:pStyle w:val="Normal"/>
              <w:widowControl w:val="false"/>
              <w:rPr/>
            </w:pPr>
            <w:r>
              <w:rPr/>
            </w:r>
          </w:p>
          <w:p>
            <w:pPr>
              <w:pStyle w:val="Normal"/>
              <w:widowControl w:val="false"/>
              <w:rPr/>
            </w:pPr>
            <w:r>
              <w:rPr/>
            </w:r>
          </w:p>
          <w:p>
            <w:pPr>
              <w:pStyle w:val="Normal"/>
              <w:widowControl w:val="false"/>
              <w:rPr/>
            </w:pPr>
            <w:r>
              <w:rPr/>
              <w:t xml:space="preserve">_______________ / </w:t>
            </w:r>
            <w:r>
              <w:rPr>
                <w:sz w:val="24"/>
                <w:szCs w:val="24"/>
              </w:rPr>
              <w:t>О.Н. Захаров</w:t>
            </w:r>
          </w:p>
        </w:tc>
        <w:tc>
          <w:tcPr>
            <w:tcW w:w="4895"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r>
          </w:p>
        </w:tc>
      </w:tr>
    </w:tbl>
    <w:p>
      <w:pPr>
        <w:pStyle w:val="Normal"/>
        <w:ind w:firstLine="709"/>
        <w:rPr>
          <w:b/>
          <w:bCs/>
          <w:sz w:val="24"/>
          <w:szCs w:val="24"/>
        </w:rPr>
      </w:pPr>
      <w:r>
        <w:rPr>
          <w:b/>
          <w:bCs/>
          <w:sz w:val="24"/>
          <w:szCs w:val="24"/>
        </w:rPr>
      </w:r>
    </w:p>
    <w:p>
      <w:pPr>
        <w:pStyle w:val="Normal"/>
        <w:ind w:firstLine="709"/>
        <w:rPr>
          <w:b/>
          <w:bCs/>
          <w:sz w:val="24"/>
          <w:szCs w:val="24"/>
        </w:rPr>
      </w:pPr>
      <w:r>
        <w:rPr>
          <w:b/>
          <w:bCs/>
          <w:sz w:val="24"/>
          <w:szCs w:val="24"/>
        </w:rPr>
      </w:r>
    </w:p>
    <w:p>
      <w:pPr>
        <w:pStyle w:val="Normal"/>
        <w:rPr>
          <w:b/>
          <w:bCs/>
          <w:sz w:val="24"/>
          <w:szCs w:val="24"/>
        </w:rPr>
      </w:pPr>
      <w:r>
        <w:rPr>
          <w:b/>
          <w:bCs/>
          <w:sz w:val="24"/>
          <w:szCs w:val="24"/>
        </w:rPr>
      </w:r>
    </w:p>
    <w:p>
      <w:pPr>
        <w:pStyle w:val="Normal"/>
        <w:rPr/>
      </w:pPr>
      <w:r>
        <w:rPr/>
      </w:r>
    </w:p>
    <w:p>
      <w:pPr>
        <w:pStyle w:val="Normal"/>
        <w:rPr/>
      </w:pPr>
      <w:r>
        <w:rPr/>
      </w:r>
    </w:p>
    <w:p>
      <w:pPr>
        <w:pStyle w:val="Normal"/>
        <w:rPr/>
      </w:pPr>
      <w:r>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t>Приложение № 4</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r>
    </w:p>
    <w:p>
      <w:pPr>
        <w:pStyle w:val="Normal"/>
        <w:jc w:val="center"/>
        <w:rPr>
          <w:sz w:val="24"/>
          <w:szCs w:val="24"/>
        </w:rPr>
      </w:pPr>
      <w:r>
        <w:rPr>
          <w:sz w:val="24"/>
          <w:szCs w:val="24"/>
        </w:rPr>
        <w:t>Техническое задание на поставку МТР</w:t>
      </w:r>
    </w:p>
    <w:p>
      <w:pPr>
        <w:pStyle w:val="Normal"/>
        <w:jc w:val="center"/>
        <w:rPr>
          <w:sz w:val="24"/>
          <w:szCs w:val="24"/>
        </w:rPr>
      </w:pPr>
      <w:r>
        <w:rPr>
          <w:sz w:val="24"/>
          <w:szCs w:val="24"/>
        </w:rPr>
      </w:r>
    </w:p>
    <w:p>
      <w:pPr>
        <w:pStyle w:val="Heading4"/>
        <w:numPr>
          <w:ilvl w:val="0"/>
          <w:numId w:val="0"/>
        </w:numPr>
        <w:ind w:left="0" w:hanging="0"/>
        <w:rPr>
          <w:rFonts w:ascii="Times New Roman" w:hAnsi="Times New Roman"/>
          <w:b/>
          <w:bCs/>
          <w:i w:val="false"/>
          <w:i w:val="false"/>
          <w:iCs w:val="false"/>
          <w:color w:val="000000"/>
          <w:sz w:val="24"/>
          <w:szCs w:val="24"/>
        </w:rPr>
      </w:pPr>
      <w:r>
        <w:rPr/>
      </w:r>
    </w:p>
    <w:sectPr>
      <w:headerReference w:type="default" r:id="rId15"/>
      <w:headerReference w:type="first" r:id="rId16"/>
      <w:footerReference w:type="default" r:id="rId17"/>
      <w:footnotePr>
        <w:numFmt w:val="decimal"/>
      </w:footnotePr>
      <w:type w:val="nextPage"/>
      <w:pgSz w:w="11906" w:h="16838"/>
      <w:pgMar w:left="1217" w:right="706" w:gutter="0" w:header="567" w:top="1134" w:footer="709" w:bottom="1134"/>
      <w:pgNumType w:fmt="decimal"/>
      <w:formProt w:val="false"/>
      <w:textDirection w:val="lrTb"/>
      <w:docGrid w:type="default" w:linePitch="36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Liberation Mono">
    <w:altName w:val="Courier New"/>
    <w:charset w:val="01"/>
    <w:family w:val="roman"/>
    <w:pitch w:val="variable"/>
  </w:font>
  <w:font w:name="times new roman">
    <w:altName w:val="times"/>
    <w:charset w:val="01"/>
    <w:family w:val="roman"/>
    <w:pitch w:val="variable"/>
  </w:font>
  <w:font w:name="Times New              Roman">
    <w:altName w:val="se"/>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21</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13"/>
        </w:rPr>
        <w:footnoteRef/>
      </w:r>
      <w:r>
        <w:rPr/>
      </w:r>
    </w:p>
  </w:footnote>
  <w:footnote w:id="3">
    <w:p>
      <w:pPr>
        <w:pStyle w:val="FootnoteText"/>
        <w:jc w:val="both"/>
        <w:rPr/>
      </w:pPr>
      <w:r>
        <w:rPr>
          <w:rStyle w:val="Style13"/>
        </w:rPr>
        <w:footnoteRef/>
      </w:r>
      <w:r>
        <w:rPr/>
        <w:tab/>
        <w:t xml:space="preserve"> В соответствии с Общероссийским классификатором стран мира (утв. Постановлением Госстандарта России от 14.12.2001 N 529-ст.).</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4"/>
      <w:numFmt w:val="decimal"/>
      <w:lvlText w:val="%1."/>
      <w:lvlJc w:val="left"/>
      <w:pPr>
        <w:tabs>
          <w:tab w:val="num" w:pos="0"/>
        </w:tabs>
        <w:ind w:left="360" w:hanging="360"/>
      </w:pPr>
      <w:rPr>
        <w:b/>
        <w:rFonts w:ascii="Times New Roman" w:hAnsi="Times New Roman"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8376" w:hanging="720"/>
      </w:pPr>
      <w:rPr>
        <w:rFonts w:cs="Times New Roman"/>
      </w:rPr>
    </w:lvl>
    <w:lvl w:ilvl="3">
      <w:start w:val="1"/>
      <w:numFmt w:val="decimal"/>
      <w:lvlText w:val="%1.%2.%3.%4."/>
      <w:lvlJc w:val="left"/>
      <w:pPr>
        <w:tabs>
          <w:tab w:val="num" w:pos="0"/>
        </w:tabs>
        <w:ind w:left="12204" w:hanging="720"/>
      </w:pPr>
      <w:rPr>
        <w:rFonts w:cs="Times New Roman"/>
      </w:rPr>
    </w:lvl>
    <w:lvl w:ilvl="4">
      <w:start w:val="1"/>
      <w:numFmt w:val="decimal"/>
      <w:lvlText w:val="%1.%2.%3.%4.%5."/>
      <w:lvlJc w:val="left"/>
      <w:pPr>
        <w:tabs>
          <w:tab w:val="num" w:pos="0"/>
        </w:tabs>
        <w:ind w:left="16392" w:hanging="1080"/>
      </w:pPr>
      <w:rPr>
        <w:rFonts w:cs="Times New Roman"/>
      </w:rPr>
    </w:lvl>
    <w:lvl w:ilvl="5">
      <w:start w:val="1"/>
      <w:numFmt w:val="decimal"/>
      <w:lvlText w:val="%1.%2.%3.%4.%5.%6."/>
      <w:lvlJc w:val="left"/>
      <w:pPr>
        <w:tabs>
          <w:tab w:val="num" w:pos="0"/>
        </w:tabs>
        <w:ind w:left="20220" w:hanging="1080"/>
      </w:pPr>
      <w:rPr>
        <w:rFonts w:cs="Times New Roman"/>
      </w:rPr>
    </w:lvl>
    <w:lvl w:ilvl="6">
      <w:start w:val="1"/>
      <w:numFmt w:val="decimal"/>
      <w:lvlText w:val="%1.%2.%3.%4.%5.%6.%7."/>
      <w:lvlJc w:val="left"/>
      <w:pPr>
        <w:tabs>
          <w:tab w:val="num" w:pos="0"/>
        </w:tabs>
        <w:ind w:left="24408" w:hanging="1440"/>
      </w:pPr>
      <w:rPr>
        <w:rFonts w:cs="Times New Roman"/>
      </w:rPr>
    </w:lvl>
    <w:lvl w:ilvl="7">
      <w:start w:val="1"/>
      <w:numFmt w:val="decimal"/>
      <w:lvlText w:val="%1.%2.%3.%4.%5.%6.%7.%8."/>
      <w:lvlJc w:val="left"/>
      <w:pPr>
        <w:tabs>
          <w:tab w:val="num" w:pos="0"/>
        </w:tabs>
        <w:ind w:left="28236" w:hanging="1440"/>
      </w:pPr>
      <w:rPr>
        <w:rFonts w:cs="Times New Roman"/>
      </w:rPr>
    </w:lvl>
    <w:lvl w:ilvl="8">
      <w:start w:val="1"/>
      <w:numFmt w:val="decimal"/>
      <w:lvlText w:val="%1.%2.%3.%4.%5.%6.%7.%8.%9."/>
      <w:lvlJc w:val="left"/>
      <w:pPr>
        <w:tabs>
          <w:tab w:val="num" w:pos="0"/>
        </w:tabs>
        <w:ind w:left="0" w:hanging="1800"/>
      </w:pPr>
      <w:rPr>
        <w:rFonts w:cs="Times New Roman"/>
      </w:rPr>
    </w:lvl>
  </w:abstractNum>
  <w:abstractNum w:abstractNumId="1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1">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2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1"/>
    <w:lvlOverride w:ilvl="0">
      <w:startOverride w:val="1"/>
    </w:lvlOverride>
  </w:num>
  <w:num w:numId="123">
    <w:abstractNumId w:val="11"/>
  </w:num>
  <w:num w:numId="124">
    <w:abstractNumId w:val="11"/>
  </w:num>
  <w:num w:numId="125">
    <w:abstractNumId w:val="11"/>
  </w:num>
  <w:num w:numId="126">
    <w:abstractNumId w:val="11"/>
  </w:num>
  <w:num w:numId="127">
    <w:abstractNumId w:val="11"/>
  </w:num>
  <w:num w:numId="128">
    <w:abstractNumId w:val="11"/>
  </w:num>
  <w:num w:numId="129">
    <w:abstractNumId w:val="11"/>
  </w:num>
  <w:num w:numId="130">
    <w:abstractNumId w:val="11"/>
  </w:num>
  <w:num w:numId="131">
    <w:abstractNumId w:val="11"/>
  </w:num>
  <w:num w:numId="132">
    <w:abstractNumId w:val="21"/>
    <w:lvlOverride w:ilvl="0">
      <w:startOverride w:val="2"/>
    </w:lvlOverride>
    <w:lvlOverride w:ilvl="1">
      <w:startOverride w:val="3"/>
    </w:lvlOverride>
    <w:lvlOverride w:ilvl="2">
      <w:startOverride w:val="2"/>
    </w:lvlOverride>
  </w:num>
  <w:num w:numId="133">
    <w:abstractNumId w:val="11"/>
  </w:num>
  <w:num w:numId="134">
    <w:abstractNumId w:val="11"/>
  </w:num>
  <w:num w:numId="135">
    <w:abstractNumId w:val="11"/>
  </w:num>
  <w:num w:numId="136">
    <w:abstractNumId w:val="11"/>
  </w:num>
  <w:num w:numId="137">
    <w:abstractNumId w:val="11"/>
  </w:num>
  <w:num w:numId="138">
    <w:abstractNumId w:val="11"/>
  </w:num>
  <w:num w:numId="139">
    <w:abstractNumId w:val="11"/>
  </w:num>
  <w:num w:numId="140">
    <w:abstractNumId w:val="11"/>
  </w:num>
  <w:num w:numId="141">
    <w:abstractNumId w:val="11"/>
  </w:num>
  <w:num w:numId="142">
    <w:abstractNumId w:val="11"/>
  </w:num>
  <w:num w:numId="143">
    <w:abstractNumId w:val="11"/>
  </w:num>
  <w:num w:numId="144">
    <w:abstractNumId w:val="11"/>
  </w:num>
  <w:num w:numId="145">
    <w:abstractNumId w:val="11"/>
  </w:num>
  <w:num w:numId="146">
    <w:abstractNumId w:val="11"/>
  </w:num>
  <w:num w:numId="147">
    <w:abstractNumId w:val="11"/>
  </w:num>
  <w:num w:numId="148">
    <w:abstractNumId w:val="11"/>
  </w:num>
  <w:num w:numId="149">
    <w:abstractNumId w:val="11"/>
  </w:num>
  <w:num w:numId="150">
    <w:abstractNumId w:val="11"/>
  </w:num>
  <w:num w:numId="151">
    <w:abstractNumId w:val="11"/>
  </w:num>
  <w:num w:numId="152">
    <w:abstractNumId w:val="11"/>
  </w:num>
  <w:num w:numId="153">
    <w:abstractNumId w:val="11"/>
  </w:num>
  <w:num w:numId="154">
    <w:abstractNumId w:val="11"/>
  </w:num>
  <w:num w:numId="155">
    <w:abstractNumId w:val="11"/>
  </w:num>
  <w:num w:numId="156">
    <w:abstractNumId w:val="11"/>
  </w:num>
  <w:num w:numId="157">
    <w:abstractNumId w:val="11"/>
  </w:num>
  <w:num w:numId="158">
    <w:abstractNumId w:val="11"/>
  </w:num>
  <w:num w:numId="159">
    <w:abstractNumId w:val="11"/>
  </w:num>
  <w:num w:numId="160">
    <w:abstractNumId w:val="11"/>
  </w:num>
  <w:num w:numId="161">
    <w:abstractNumId w:val="11"/>
  </w:num>
  <w:num w:numId="162">
    <w:abstractNumId w:val="11"/>
  </w:num>
  <w:num w:numId="163">
    <w:abstractNumId w:val="11"/>
  </w:num>
  <w:num w:numId="164">
    <w:abstractNumId w:val="11"/>
  </w:num>
  <w:num w:numId="165">
    <w:abstractNumId w:val="11"/>
  </w:num>
  <w:num w:numId="166">
    <w:abstractNumId w:val="11"/>
  </w:num>
  <w:num w:numId="167">
    <w:abstractNumId w:val="11"/>
  </w:num>
  <w:num w:numId="168">
    <w:abstractNumId w:val="11"/>
  </w:num>
  <w:num w:numId="169">
    <w:abstractNumId w:val="11"/>
  </w:num>
  <w:num w:numId="170">
    <w:abstractNumId w:val="11"/>
  </w:num>
  <w:num w:numId="171">
    <w:abstractNumId w:val="11"/>
  </w:num>
  <w:num w:numId="172">
    <w:abstractNumId w:val="11"/>
  </w:num>
  <w:num w:numId="173">
    <w:abstractNumId w:val="11"/>
  </w:num>
  <w:num w:numId="174">
    <w:abstractNumId w:val="11"/>
  </w:num>
  <w:num w:numId="175">
    <w:abstractNumId w:val="11"/>
  </w:num>
  <w:num w:numId="176">
    <w:abstractNumId w:val="11"/>
  </w:num>
  <w:num w:numId="177">
    <w:abstractNumId w:val="11"/>
  </w:num>
  <w:num w:numId="178">
    <w:abstractNumId w:val="11"/>
  </w:num>
  <w:num w:numId="179">
    <w:abstractNumId w:val="11"/>
  </w:num>
  <w:num w:numId="180">
    <w:abstractNumId w:val="11"/>
  </w:num>
  <w:num w:numId="181">
    <w:abstractNumId w:val="11"/>
  </w:num>
  <w:num w:numId="182">
    <w:abstractNumId w:val="11"/>
  </w:num>
  <w:num w:numId="183">
    <w:abstractNumId w:val="11"/>
  </w:num>
  <w:num w:numId="184">
    <w:abstractNumId w:val="11"/>
  </w:num>
  <w:num w:numId="185">
    <w:abstractNumId w:val="11"/>
  </w:num>
  <w:num w:numId="186">
    <w:abstractNumId w:val="11"/>
  </w:num>
  <w:num w:numId="187">
    <w:abstractNumId w:val="11"/>
  </w:num>
  <w:num w:numId="188">
    <w:abstractNumId w:val="11"/>
  </w:num>
  <w:num w:numId="189">
    <w:abstractNumId w:val="11"/>
  </w:num>
  <w:num w:numId="190">
    <w:abstractNumId w:val="11"/>
  </w:num>
  <w:num w:numId="191">
    <w:abstractNumId w:val="11"/>
  </w:num>
  <w:num w:numId="192">
    <w:abstractNumId w:val="11"/>
  </w:num>
  <w:num w:numId="193">
    <w:abstractNumId w:val="11"/>
  </w:num>
  <w:num w:numId="194">
    <w:abstractNumId w:val="11"/>
  </w:num>
  <w:num w:numId="195">
    <w:abstractNumId w:val="11"/>
  </w:num>
  <w:num w:numId="196">
    <w:abstractNumId w:val="11"/>
  </w:num>
  <w:num w:numId="197">
    <w:abstractNumId w:val="11"/>
  </w:num>
  <w:num w:numId="198">
    <w:abstractNumId w:val="11"/>
  </w:num>
  <w:num w:numId="199">
    <w:abstractNumId w:val="11"/>
  </w:num>
  <w:num w:numId="200">
    <w:abstractNumId w:val="11"/>
  </w:num>
  <w:num w:numId="201">
    <w:abstractNumId w:val="11"/>
  </w:num>
  <w:num w:numId="202">
    <w:abstractNumId w:val="11"/>
  </w:num>
  <w:num w:numId="203">
    <w:abstractNumId w:val="11"/>
  </w:num>
  <w:num w:numId="204">
    <w:abstractNumId w:val="11"/>
  </w:num>
  <w:num w:numId="205">
    <w:abstractNumId w:val="11"/>
  </w:num>
  <w:num w:numId="206">
    <w:abstractNumId w:val="11"/>
  </w:num>
  <w:num w:numId="207">
    <w:abstractNumId w:val="11"/>
  </w:num>
  <w:num w:numId="208">
    <w:abstractNumId w:val="11"/>
  </w:num>
  <w:num w:numId="209">
    <w:abstractNumId w:val="11"/>
  </w:num>
  <w:num w:numId="210">
    <w:abstractNumId w:val="11"/>
  </w:num>
  <w:num w:numId="211">
    <w:abstractNumId w:val="11"/>
  </w:num>
  <w:num w:numId="212">
    <w:abstractNumId w:val="11"/>
  </w:num>
  <w:num w:numId="213">
    <w:abstractNumId w:val="11"/>
  </w:num>
  <w:num w:numId="214">
    <w:abstractNumId w:val="11"/>
  </w:num>
  <w:num w:numId="215">
    <w:abstractNumId w:val="11"/>
  </w:num>
  <w:num w:numId="216">
    <w:abstractNumId w:val="11"/>
  </w:num>
  <w:num w:numId="217">
    <w:abstractNumId w:val="11"/>
  </w:num>
  <w:num w:numId="218">
    <w:abstractNumId w:val="11"/>
  </w:num>
  <w:num w:numId="219">
    <w:abstractNumId w:val="11"/>
  </w:num>
  <w:num w:numId="220">
    <w:abstractNumId w:val="11"/>
  </w:num>
  <w:num w:numId="221">
    <w:abstractNumId w:val="11"/>
  </w:num>
  <w:num w:numId="222">
    <w:abstractNumId w:val="11"/>
  </w:num>
  <w:num w:numId="223">
    <w:abstractNumId w:val="11"/>
  </w:num>
  <w:num w:numId="224">
    <w:abstractNumId w:val="11"/>
  </w:num>
  <w:num w:numId="225">
    <w:abstractNumId w:val="11"/>
  </w:num>
  <w:num w:numId="226">
    <w:abstractNumId w:val="11"/>
  </w:num>
  <w:num w:numId="227">
    <w:abstractNumId w:val="11"/>
  </w:num>
  <w:num w:numId="228">
    <w:abstractNumId w:val="11"/>
  </w:num>
  <w:num w:numId="229">
    <w:abstractNumId w:val="11"/>
  </w:num>
  <w:num w:numId="230">
    <w:abstractNumId w:val="11"/>
  </w:num>
  <w:num w:numId="231">
    <w:abstractNumId w:val="11"/>
  </w:num>
  <w:num w:numId="232">
    <w:abstractNumId w:val="1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paragraph" w:styleId="Heading4">
    <w:name w:val="Heading 4"/>
    <w:basedOn w:val="Normal"/>
    <w:next w:val="Normal"/>
    <w:link w:val="4"/>
    <w:semiHidden/>
    <w:unhideWhenUsed/>
    <w:qFormat/>
    <w:rsid w:val="00d66689"/>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6" w:customStyle="1">
    <w:name w:val="Заголовок Знак"/>
    <w:qFormat/>
    <w:locked/>
    <w:rsid w:val="00565582"/>
    <w:rPr>
      <w:b/>
      <w:bCs/>
      <w:sz w:val="24"/>
      <w:szCs w:val="24"/>
      <w:lang w:val="ru-RU" w:eastAsia="ru-RU" w:bidi="ar-SA"/>
    </w:rPr>
  </w:style>
  <w:style w:type="character" w:styleId="Style7"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8" w:customStyle="1">
    <w:name w:val="Текст примечания Знак"/>
    <w:basedOn w:val="DefaultParagraphFont"/>
    <w:link w:val="Annotationtext"/>
    <w:qFormat/>
    <w:rsid w:val="00d36934"/>
    <w:rPr/>
  </w:style>
  <w:style w:type="character" w:styleId="Style9"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0" w:customStyle="1">
    <w:name w:val="Основной текст с отступом Знак"/>
    <w:basedOn w:val="DefaultParagraphFont"/>
    <w:qFormat/>
    <w:rsid w:val="00e00bca"/>
    <w:rPr/>
  </w:style>
  <w:style w:type="character" w:styleId="Style11" w:customStyle="1">
    <w:name w:val="комментарий"/>
    <w:uiPriority w:val="99"/>
    <w:qFormat/>
    <w:rsid w:val="00d562c0"/>
    <w:rPr>
      <w:rFonts w:cs="Times New Roman"/>
      <w:b/>
      <w:bCs/>
      <w:i/>
      <w:iCs/>
      <w:shd w:fill="FFFF99" w:val="clear"/>
    </w:rPr>
  </w:style>
  <w:style w:type="character" w:styleId="Style12" w:customStyle="1">
    <w:name w:val="Текст сноски Знак"/>
    <w:basedOn w:val="DefaultParagraphFont"/>
    <w:uiPriority w:val="99"/>
    <w:qFormat/>
    <w:rsid w:val="00f47c6a"/>
    <w:rPr/>
  </w:style>
  <w:style w:type="character" w:styleId="Style13" w:customStyle="1">
    <w:name w:val="Символ сноски"/>
    <w:qFormat/>
    <w:rsid w:val="00f47c6a"/>
    <w:rPr>
      <w:vertAlign w:val="superscript"/>
    </w:rPr>
  </w:style>
  <w:style w:type="character" w:styleId="FootnoteReference">
    <w:name w:val="Footnote Reference"/>
    <w:rPr>
      <w:vertAlign w:val="superscript"/>
    </w:rPr>
  </w:style>
  <w:style w:type="character" w:styleId="Style14"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5" w:customStyle="1">
    <w:name w:val="Нижний колонтитул Знак"/>
    <w:uiPriority w:val="99"/>
    <w:qFormat/>
    <w:rsid w:val="00d925fb"/>
    <w:rPr/>
  </w:style>
  <w:style w:type="character" w:styleId="Style16" w:customStyle="1">
    <w:name w:val="Название Знак"/>
    <w:qFormat/>
    <w:rsid w:val="0095682b"/>
    <w:rPr>
      <w:b/>
      <w:bCs/>
      <w:sz w:val="24"/>
      <w:szCs w:val="24"/>
    </w:rPr>
  </w:style>
  <w:style w:type="character" w:styleId="Style17" w:customStyle="1">
    <w:name w:val="Абзац списка Знак"/>
    <w:link w:val="ListParagraph"/>
    <w:uiPriority w:val="34"/>
    <w:qFormat/>
    <w:locked/>
    <w:rsid w:val="00725d08"/>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4" w:customStyle="1">
    <w:name w:val="Заголовок 4 Знак"/>
    <w:basedOn w:val="DefaultParagraphFont"/>
    <w:semiHidden/>
    <w:qFormat/>
    <w:rsid w:val="00d66689"/>
    <w:rPr>
      <w:rFonts w:ascii="Calibri Light" w:hAnsi="Calibri Light" w:eastAsia="" w:cs="" w:asciiTheme="majorHAnsi" w:cstheme="majorBidi" w:eastAsiaTheme="majorEastAsia" w:hAnsiTheme="majorHAnsi"/>
      <w:i/>
      <w:iCs/>
      <w:color w:val="2E74B5" w:themeColor="accent1" w:themeShade="bf"/>
    </w:rPr>
  </w:style>
  <w:style w:type="character" w:styleId="Style19" w:customStyle="1">
    <w:name w:val="Символ нумерации"/>
    <w:qForma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next w:val="BodyText"/>
    <w:link w:val="Style6"/>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customStyle="1">
    <w:name w:val="Колонтитул"/>
    <w:basedOn w:val="Normal"/>
    <w:qFormat/>
    <w:pPr/>
    <w:rPr/>
  </w:style>
  <w:style w:type="paragraph" w:styleId="Footer">
    <w:name w:val="Footer"/>
    <w:basedOn w:val="Normal"/>
    <w:link w:val="Style15"/>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8"/>
    <w:qFormat/>
    <w:rsid w:val="00d36934"/>
    <w:pPr/>
    <w:rPr/>
  </w:style>
  <w:style w:type="paragraph" w:styleId="Annotationsubject">
    <w:name w:val="annotation subject"/>
    <w:basedOn w:val="Annotationtext"/>
    <w:next w:val="Annotationtext"/>
    <w:link w:val="Style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0"/>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2"/>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4"/>
    <w:uiPriority w:val="99"/>
    <w:rsid w:val="000449a5"/>
    <w:pPr>
      <w:tabs>
        <w:tab w:val="clear" w:pos="708"/>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8" w:customStyle="1">
    <w:name w:val="Содержимое таблицы"/>
    <w:basedOn w:val="Normal"/>
    <w:qFormat/>
    <w:pPr>
      <w:suppressLineNumbers/>
    </w:pPr>
    <w:rPr/>
  </w:style>
  <w:style w:type="paragraph" w:styleId="Style29" w:customStyle="1">
    <w:name w:val="Заголовок таблицы"/>
    <w:basedOn w:val="Style28"/>
    <w:qFormat/>
    <w:pPr>
      <w:jc w:val="center"/>
    </w:pPr>
    <w:rPr>
      <w:b/>
      <w:bCs/>
    </w:rPr>
  </w:style>
  <w:style w:type="paragraph" w:styleId="Style30" w:customStyle="1">
    <w:name w:val="Текст в заданном формате"/>
    <w:basedOn w:val="Normal"/>
    <w:qFormat/>
    <w:pPr/>
    <w:rPr>
      <w:rFonts w:ascii="Liberation Mono" w:hAnsi="Liberation Mono" w:eastAsia="Liberation Mono" w:cs="Liberation Mono"/>
    </w:rPr>
  </w:style>
  <w:style w:type="paragraph" w:styleId="Style31">
    <w:name w:val="Таблица шапка"/>
    <w:basedOn w:val="Normal"/>
    <w:qFormat/>
    <w:pPr>
      <w:keepNext w:val="true"/>
      <w:spacing w:before="40" w:after="40"/>
      <w:ind w:left="57" w:right="57" w:hanging="0"/>
    </w:pPr>
    <w:rPr>
      <w:sz w:val="22"/>
      <w:szCs w:val="2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
    <w:name w:val="Table Grid"/>
    <w:basedOn w:val="a1"/>
    <w:uiPriority w:val="39"/>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mailto:office@raychem.org" TargetMode="External"/><Relationship Id="rId4" Type="http://schemas.openxmlformats.org/officeDocument/2006/relationships/hyperlink" Target="consultantplus://offline/ref=94D5CE8889791A29DE57299515463A9D6134D8237B999C803E6F853513x2A2P" TargetMode="External"/><Relationship Id="rId5" Type="http://schemas.openxmlformats.org/officeDocument/2006/relationships/hyperlink" Target="consultantplus://offline/ref=94D5CE8889791A29DE57299515463A9D6135D2287D929C803E6F853513x2A2P" TargetMode="External"/><Relationship Id="rId6" Type="http://schemas.openxmlformats.org/officeDocument/2006/relationships/hyperlink" Target="consultantplus://offline/ref=79440D5123ABA6A25F43346AB59DBAAC7032C8E1556DA64FAED62E167F76889C2B7C475C32EFC59BJ8rDH" TargetMode="Externa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header" Target="header9.xml"/><Relationship Id="rId15" Type="http://schemas.openxmlformats.org/officeDocument/2006/relationships/header" Target="header10.xml"/><Relationship Id="rId16" Type="http://schemas.openxmlformats.org/officeDocument/2006/relationships/header" Target="header11.xml"/><Relationship Id="rId17" Type="http://schemas.openxmlformats.org/officeDocument/2006/relationships/footer" Target="footer1.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Relationship Id="rId24" Type="http://schemas.openxmlformats.org/officeDocument/2006/relationships/customXml" Target="../customXml/item2.xml"/><Relationship Id="rId25" Type="http://schemas.openxmlformats.org/officeDocument/2006/relationships/customXml" Target="../customXml/item3.xml"/><Relationship Id="rId26"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90803C7-E84E-446B-BD28-0D514BB7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Application>AlterOffice/3.4.0.9$Linux_X86_64 LibreOffice_project/b8daf9e823b1a5463a2f48435ddc2e8696e7d4fc</Application>
  <AppVersion>15.0000</AppVersion>
  <Pages>21</Pages>
  <Words>6471</Words>
  <Characters>45350</Characters>
  <CharactersWithSpaces>51797</CharactersWithSpaces>
  <Paragraphs>324</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2025-07-28T07:51:00Z</dcterms:created>
  <dc:creator>tsypilev_ag</dc:creator>
  <dc:description/>
  <dc:language>ru-RU</dc:language>
  <cp:lastModifiedBy>kononenkoev@corp.gidroogk.com</cp:lastModifiedBy>
  <cp:lastPrinted>2023-03-06T07:59:00Z</cp:lastPrinted>
  <dcterms:modified xsi:type="dcterms:W3CDTF">2026-04-18T14:41:27Z</dcterms:modified>
  <cp:revision>23</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