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910"/>
        <w:ind w:firstLine="709"/>
        <w:jc w:val="center"/>
        <w:tabs>
          <w:tab w:val="left" w:pos="0" w:leader="none"/>
        </w:tabs>
        <w:rPr>
          <w:b/>
        </w:rPr>
        <w:outlineLvl w:val="0"/>
      </w:pPr>
      <w:r>
        <w:rPr>
          <w:b/>
        </w:rPr>
        <w:t xml:space="preserve">Извещение о проведении </w:t>
      </w:r>
      <w:r>
        <w:rPr>
          <w:b/>
        </w:rPr>
        <w:t xml:space="preserve">конкурса</w:t>
      </w:r>
      <w:r>
        <w:rPr>
          <w:b/>
        </w:rPr>
        <w:t xml:space="preserve"> </w:t>
      </w:r>
      <w:r>
        <w:rPr>
          <w:b/>
        </w:rPr>
        <w:t xml:space="preserve">в электронной форме</w:t>
      </w:r>
      <w:r>
        <w:rPr>
          <w:b/>
        </w:rPr>
      </w:r>
      <w:r>
        <w:rPr>
          <w:b/>
        </w:rPr>
      </w:r>
    </w:p>
    <w:p>
      <w:pPr>
        <w:pStyle w:val="910"/>
        <w:ind w:firstLine="709"/>
        <w:jc w:val="center"/>
        <w:tabs>
          <w:tab w:val="left" w:pos="851" w:leader="none"/>
          <w:tab w:val="left" w:pos="1134" w:leader="none"/>
        </w:tabs>
        <w:rPr>
          <w:b/>
        </w:rPr>
        <w:outlineLvl w:val="0"/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910"/>
        <w:jc w:val="both"/>
        <w:tabs>
          <w:tab w:val="left" w:pos="851" w:leader="none"/>
          <w:tab w:val="left" w:pos="1134" w:leader="none"/>
        </w:tabs>
      </w:pPr>
      <w:r>
        <w:t xml:space="preserve">Публичное акционерное общество «</w:t>
      </w:r>
      <w:r>
        <w:t xml:space="preserve">Россети </w:t>
      </w:r>
      <w:r>
        <w:t xml:space="preserve">Ленэнерго» </w:t>
      </w:r>
      <w:r>
        <w:t xml:space="preserve">(далее -</w:t>
      </w:r>
      <w:r>
        <w:t xml:space="preserve"> ПАО «</w:t>
      </w:r>
      <w:r>
        <w:t xml:space="preserve">Россети </w:t>
      </w:r>
      <w:r>
        <w:t xml:space="preserve">Ленэнерго»</w:t>
      </w:r>
      <w:r>
        <w:t xml:space="preserve">, </w:t>
      </w:r>
      <w:r>
        <w:t xml:space="preserve">З</w:t>
      </w:r>
      <w:r>
        <w:t xml:space="preserve">аказчик</w:t>
      </w:r>
      <w:r>
        <w:t xml:space="preserve">), являющееся также Организатором закупки, </w:t>
      </w:r>
      <w:r>
        <w:t xml:space="preserve">настоящим приглашает к участию в </w:t>
      </w:r>
      <w:r>
        <w:t xml:space="preserve">конкурсе</w:t>
      </w:r>
      <w:r>
        <w:t xml:space="preserve"> </w:t>
      </w:r>
      <w:r>
        <w:t xml:space="preserve">в электронной форме (далее – </w:t>
      </w:r>
      <w:r>
        <w:t xml:space="preserve">конкурс</w:t>
      </w:r>
      <w:r>
        <w:t xml:space="preserve">, </w:t>
      </w:r>
      <w:r>
        <w:t xml:space="preserve">з</w:t>
      </w:r>
      <w:r>
        <w:t xml:space="preserve">акупка). </w:t>
      </w:r>
      <w:r/>
    </w:p>
    <w:p>
      <w:pPr>
        <w:pStyle w:val="910"/>
        <w:jc w:val="both"/>
        <w:tabs>
          <w:tab w:val="left" w:pos="851" w:leader="none"/>
          <w:tab w:val="left" w:pos="1134" w:leader="none"/>
        </w:tabs>
      </w:pPr>
      <w:r/>
      <w:r/>
    </w:p>
    <w:p>
      <w:pPr>
        <w:pStyle w:val="910"/>
        <w:jc w:val="right"/>
      </w:pPr>
      <w:r>
        <w:t xml:space="preserve">«</w:t>
      </w:r>
      <w:r>
        <w:t xml:space="preserve">27</w:t>
      </w:r>
      <w:r>
        <w:t xml:space="preserve">» апреля</w:t>
      </w:r>
      <w:r>
        <w:t xml:space="preserve"> </w:t>
      </w:r>
      <w:r>
        <w:t xml:space="preserve">20</w:t>
      </w:r>
      <w:r>
        <w:t xml:space="preserve">26</w:t>
      </w:r>
      <w:r>
        <w:t xml:space="preserve"> г.</w:t>
      </w:r>
      <w:r/>
    </w:p>
    <w:p>
      <w:pPr>
        <w:pStyle w:val="910"/>
        <w:jc w:val="right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tbl>
      <w:tblPr>
        <w:tblW w:w="10065" w:type="dxa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3227"/>
        <w:gridCol w:w="683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11"/>
        </w:trPr>
        <w:tc>
          <w:tcPr>
            <w:shd w:val="clear" w:color="auto" w:fill="f2f2f2"/>
            <w:tcW w:w="3227" w:type="dxa"/>
            <w:vAlign w:val="top"/>
            <w:textDirection w:val="lrTb"/>
            <w:noWrap w:val="false"/>
          </w:tcPr>
          <w:p>
            <w:pPr>
              <w:pStyle w:val="910"/>
            </w:pPr>
            <w:r>
              <w:t xml:space="preserve">Способ осуществления закупки</w:t>
            </w:r>
            <w:r/>
          </w:p>
        </w:tc>
        <w:tc>
          <w:tcPr>
            <w:tcW w:w="6838" w:type="dxa"/>
            <w:vAlign w:val="top"/>
            <w:textDirection w:val="lrTb"/>
            <w:noWrap w:val="false"/>
          </w:tcPr>
          <w:p>
            <w:pPr>
              <w:pStyle w:val="910"/>
              <w:jc w:val="both"/>
            </w:pPr>
            <w:r>
              <w:t xml:space="preserve">Конкурс</w:t>
            </w:r>
            <w:r>
              <w:t xml:space="preserve"> </w:t>
            </w:r>
            <w:r>
              <w:t xml:space="preserve">в электронной форме</w:t>
            </w:r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968"/>
        </w:trPr>
        <w:tc>
          <w:tcPr>
            <w:shd w:val="clear" w:color="auto" w:fill="f2f2f2"/>
            <w:tcW w:w="3227" w:type="dxa"/>
            <w:vAlign w:val="top"/>
            <w:textDirection w:val="lrTb"/>
            <w:noWrap w:val="false"/>
          </w:tcPr>
          <w:p>
            <w:pPr>
              <w:pStyle w:val="910"/>
            </w:pPr>
            <w:r>
              <w:t xml:space="preserve">Наименование, место нахождения, почтовый адрес, адрес электронной почты, номер контактног</w:t>
            </w:r>
            <w:r>
              <w:t xml:space="preserve">о телефона З</w:t>
            </w:r>
            <w:r>
              <w:t xml:space="preserve">аказчика</w:t>
            </w:r>
            <w:r/>
          </w:p>
        </w:tc>
        <w:tc>
          <w:tcPr>
            <w:tcW w:w="6838" w:type="dxa"/>
            <w:vAlign w:val="top"/>
            <w:textDirection w:val="lrTb"/>
            <w:noWrap w:val="false"/>
          </w:tcPr>
          <w:p>
            <w:pPr>
              <w:pStyle w:val="910"/>
              <w:jc w:val="both"/>
            </w:pPr>
            <w:r>
              <w:t xml:space="preserve">Наименование Заказчика: ПАО «Россети Ленэнерго»</w:t>
            </w:r>
            <w:r/>
          </w:p>
          <w:p>
            <w:pPr>
              <w:pStyle w:val="910"/>
              <w:jc w:val="both"/>
            </w:pPr>
            <w:r>
              <w:t xml:space="preserve">Место нахождения и почтовый адрес Заказчика: </w:t>
            </w:r>
            <w:r>
              <w:t xml:space="preserve">197349</w:t>
            </w:r>
            <w:r>
              <w:t xml:space="preserve">, </w:t>
              <w:br w:type="textWrapping" w:clear="all"/>
              <w:t xml:space="preserve">г. Санкт-Петербург, вн. тер. г. Муниципальный округ озеро Долгое, ул. Гаккелевская, д. 21, лит. А</w:t>
            </w:r>
            <w:r/>
          </w:p>
          <w:p>
            <w:pPr>
              <w:pStyle w:val="910"/>
              <w:jc w:val="both"/>
            </w:pPr>
            <w:r>
              <w:t xml:space="preserve">Контактное лицо Заказчика: </w:t>
            </w:r>
            <w:r/>
          </w:p>
          <w:p>
            <w:pPr>
              <w:pStyle w:val="910"/>
              <w:jc w:val="both"/>
            </w:pPr>
            <w:r>
              <w:t xml:space="preserve">Главный специалист отдела подготовки и проведения конкурсов Куканиева Любовь Васильевна, тел. (812) 494-30-65,</w:t>
              <w:br w:type="textWrapping" w:clear="all"/>
              <w:t xml:space="preserve"> </w:t>
            </w:r>
            <w:r>
              <w:rPr>
                <w:lang w:val="en-US"/>
              </w:rPr>
              <w:t xml:space="preserve">e</w:t>
            </w:r>
            <w:r>
              <w:t xml:space="preserve">-</w:t>
            </w:r>
            <w:r>
              <w:rPr>
                <w:lang w:val="en-US"/>
              </w:rPr>
              <w:t xml:space="preserve">m</w:t>
            </w:r>
            <w:r>
              <w:t xml:space="preserve">ail – </w:t>
            </w:r>
            <w:r>
              <w:rPr>
                <w:lang w:val="en-US"/>
              </w:rPr>
              <w:fldChar w:fldCharType="begin"/>
            </w:r>
            <w:r>
              <w:instrText xml:space="preserve"> </w:instrText>
            </w:r>
            <w:r>
              <w:rPr>
                <w:lang w:val="en-US"/>
              </w:rPr>
              <w:instrText xml:space="preserve">HYPERLINK</w:instrText>
            </w:r>
            <w:r>
              <w:instrText xml:space="preserve"> "</w:instrText>
            </w:r>
            <w:r>
              <w:rPr>
                <w:lang w:val="en-US"/>
              </w:rPr>
              <w:instrText xml:space="preserve">mailto</w:instrText>
            </w:r>
            <w:r>
              <w:instrText xml:space="preserve">:</w:instrText>
            </w:r>
            <w:r>
              <w:rPr>
                <w:lang w:val="en-US"/>
              </w:rPr>
              <w:instrText xml:space="preserve">Kukanieva</w:instrText>
            </w:r>
            <w:r>
              <w:instrText xml:space="preserve">.</w:instrText>
            </w:r>
            <w:r>
              <w:rPr>
                <w:lang w:val="en-US"/>
              </w:rPr>
              <w:instrText xml:space="preserve">LV</w:instrText>
            </w:r>
            <w:r>
              <w:instrText xml:space="preserve">@lenenergo.ru" </w:instrText>
            </w:r>
            <w:r>
              <w:rPr>
                <w:lang w:val="en-US"/>
              </w:rPr>
              <w:fldChar w:fldCharType="separate"/>
            </w:r>
            <w:r>
              <w:rPr>
                <w:rStyle w:val="918"/>
                <w:lang w:val="en-US"/>
              </w:rPr>
              <w:t xml:space="preserve">Kukanieva</w:t>
            </w:r>
            <w:r>
              <w:rPr>
                <w:rStyle w:val="918"/>
              </w:rPr>
              <w:t xml:space="preserve">.</w:t>
            </w:r>
            <w:r>
              <w:rPr>
                <w:rStyle w:val="918"/>
                <w:lang w:val="en-US"/>
              </w:rPr>
              <w:t xml:space="preserve">LV</w:t>
            </w:r>
            <w:r>
              <w:rPr>
                <w:rStyle w:val="918"/>
              </w:rPr>
              <w:t xml:space="preserve">@lenenergo.ru</w:t>
            </w:r>
            <w:r>
              <w:rPr>
                <w:lang w:val="en-US"/>
              </w:rPr>
              <w:fldChar w:fldCharType="end"/>
            </w:r>
            <w:r/>
          </w:p>
          <w:p>
            <w:pPr>
              <w:pStyle w:val="910"/>
              <w:jc w:val="both"/>
            </w:pPr>
            <w:r>
              <w:t xml:space="preserve">Начальник отдела подготовки и проведения конкурсов Парфенов Николай Николаевич, тел. (812) 494-32-93, </w:t>
              <w:br w:type="textWrapping" w:clear="all"/>
            </w:r>
            <w:r>
              <w:rPr>
                <w:lang w:val="en-US"/>
              </w:rPr>
              <w:t xml:space="preserve">e</w:t>
            </w:r>
            <w:r>
              <w:t xml:space="preserve">-</w:t>
            </w:r>
            <w:r>
              <w:rPr>
                <w:lang w:val="en-US"/>
              </w:rPr>
              <w:t xml:space="preserve">mail</w:t>
            </w:r>
            <w:r>
              <w:t xml:space="preserve">: </w:t>
            </w:r>
            <w:r>
              <w:rPr>
                <w:lang w:val="en-US"/>
              </w:rPr>
              <w:t xml:space="preserve">Parfenov</w:t>
            </w:r>
            <w:r>
              <w:t xml:space="preserve">.</w:t>
            </w:r>
            <w:r>
              <w:rPr>
                <w:lang w:val="en-US"/>
              </w:rPr>
              <w:t xml:space="preserve">NN</w:t>
            </w:r>
            <w:r>
              <w:t xml:space="preserve">@</w:t>
            </w:r>
            <w:r>
              <w:rPr>
                <w:lang w:val="en-US"/>
              </w:rPr>
              <w:t xml:space="preserve">lenenergo</w:t>
            </w:r>
            <w:r>
              <w:t xml:space="preserve">.</w:t>
            </w:r>
            <w:r>
              <w:rPr>
                <w:lang w:val="en-US"/>
              </w:rPr>
              <w:t xml:space="preserve">ru</w:t>
            </w:r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825"/>
        </w:trPr>
        <w:tc>
          <w:tcPr>
            <w:shd w:val="clear" w:color="auto" w:fill="f2f2f2"/>
            <w:tcW w:w="3227" w:type="dxa"/>
            <w:vAlign w:val="top"/>
            <w:textDirection w:val="lrTb"/>
            <w:noWrap w:val="false"/>
          </w:tcPr>
          <w:p>
            <w:pPr>
              <w:pStyle w:val="910"/>
            </w:pPr>
            <w:r>
              <w:t xml:space="preserve">Требования к участникам закупки </w:t>
            </w:r>
            <w:r/>
          </w:p>
        </w:tc>
        <w:tc>
          <w:tcPr>
            <w:tcW w:w="6838" w:type="dxa"/>
            <w:vAlign w:val="top"/>
            <w:textDirection w:val="lrTb"/>
            <w:noWrap w:val="false"/>
          </w:tcPr>
          <w:p>
            <w:pPr>
              <w:pStyle w:val="910"/>
              <w:jc w:val="both"/>
              <w:tabs>
                <w:tab w:val="left" w:pos="851" w:leader="none"/>
                <w:tab w:val="left" w:pos="1134" w:leader="none"/>
              </w:tabs>
              <w:rPr>
                <w:b/>
              </w:rPr>
            </w:pPr>
            <w:r>
              <w:rPr>
                <w:highlight w:val="cyan"/>
              </w:rPr>
              <w:t xml:space="preserve">Участником закупки может б</w:t>
            </w:r>
            <w:r>
              <w:rPr>
                <w:highlight w:val="cyan"/>
              </w:rPr>
              <w:t xml:space="preserve">ыть любое юридическое лицо, а также индивидуальный предприниматель, являющиеся </w:t>
            </w:r>
            <w:r>
              <w:rPr>
                <w:b/>
                <w:highlight w:val="cyan"/>
              </w:rPr>
              <w:t xml:space="preserve">субъектами малого или среднего предпринимательства</w:t>
            </w:r>
            <w:r>
              <w:rPr>
                <w:b/>
              </w:rPr>
              <w:t xml:space="preserve">, </w:t>
            </w:r>
            <w:r>
              <w:t xml:space="preserve">за исключением юридического лица и физического лица, являющегося иностранным агентом в соответствии </w:t>
              <w:br/>
              <w:t xml:space="preserve">с Федеральным законом от 14.07.2022 года </w:t>
            </w:r>
            <w:r>
              <w:t xml:space="preserve">№ 255-ФЗ </w:t>
              <w:br/>
              <w:t xml:space="preserve">"О контроле за деятельностью лиц, находящихся под иностра</w:t>
            </w:r>
            <w:r>
              <w:t xml:space="preserve">нным влиянием. Отнесение участника закупки к иностранному агенту производится на основании информации, содержащейся в Реестре иностранных агентов, размещенном на официальном сайте уполномоченного органа в информационно-телекоммуникационной сети «Интернет».</w:t>
            </w:r>
            <w:r>
              <w:rPr>
                <w:b/>
              </w:rPr>
              <w:t xml:space="preserve"> </w:t>
            </w:r>
            <w:r>
              <w:t xml:space="preserve">В течение срока проведения эксперимента, установленного Федеральным законом от 27 ноября 2018 года № 422-ФЗ «О проведении эксперимента п</w:t>
            </w:r>
            <w:r>
              <w:t xml:space="preserve">о установлению специального налогового режима «Налог на профессиональный доход» участником закупки может быть также физическое лицо, не являющееся индивидуальными предпринимателем и применяющее специальный налоговый режим «Налог на профессиональный доход».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910"/>
              <w:jc w:val="both"/>
            </w:pPr>
            <w:r>
              <w:t xml:space="preserve">Более подробно требования к Участникам, а также требования к порядку подтверждения соответствия этим требованиям, содержатся в документации о закупке.</w:t>
            </w:r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684"/>
        </w:trPr>
        <w:tc>
          <w:tcPr>
            <w:shd w:val="clear" w:color="auto" w:fill="f2f2f2"/>
            <w:tcW w:w="3227" w:type="dxa"/>
            <w:vAlign w:val="top"/>
            <w:textDirection w:val="lrTb"/>
            <w:noWrap w:val="false"/>
          </w:tcPr>
          <w:p>
            <w:pPr>
              <w:pStyle w:val="910"/>
            </w:pPr>
            <w:r>
              <w:t xml:space="preserve">Предмет договора с указанием объема </w:t>
            </w:r>
            <w:r>
              <w:t xml:space="preserve">оказываемых услуг</w:t>
            </w:r>
            <w:r/>
          </w:p>
        </w:tc>
        <w:tc>
          <w:tcPr>
            <w:tcW w:w="6838" w:type="dxa"/>
            <w:vAlign w:val="center"/>
            <w:textDirection w:val="lrTb"/>
            <w:noWrap w:val="false"/>
          </w:tcPr>
          <w:p>
            <w:pPr>
              <w:pStyle w:val="910"/>
              <w:jc w:val="both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  <w:t xml:space="preserve">Заключение рамочного договора на организацию стратегических сессий, конференций, рабочих и торжественных совещаний, представительских и аналогичных мероприятий, соревнований, выставок-форумов, открытия объектов и конкурсов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 xml:space="preserve">(</w:t>
            </w:r>
            <w:r>
              <w:rPr>
                <w:b/>
                <w:bCs/>
              </w:rPr>
              <w:t xml:space="preserve">260175</w:t>
            </w:r>
            <w:r>
              <w:rPr>
                <w:b/>
                <w:bCs/>
              </w:rPr>
              <w:t xml:space="preserve">)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  <w:p>
            <w:pPr>
              <w:pStyle w:val="910"/>
              <w:jc w:val="both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  <w:p>
            <w:pPr>
              <w:pStyle w:val="910"/>
              <w:jc w:val="both"/>
            </w:pPr>
            <w:r>
              <w:rPr>
                <w:bCs/>
                <w:color w:val="000000"/>
              </w:rPr>
              <w:t xml:space="preserve">Более подробная информа</w:t>
            </w:r>
            <w:r>
              <w:rPr>
                <w:bCs/>
                <w:color w:val="000000"/>
              </w:rPr>
              <w:t xml:space="preserve">ция об объеме </w:t>
            </w:r>
            <w:r>
              <w:rPr>
                <w:bCs/>
                <w:color w:val="000000"/>
              </w:rPr>
              <w:t xml:space="preserve">оказываемых услуг</w:t>
            </w:r>
            <w:r>
              <w:rPr>
                <w:bCs/>
                <w:color w:val="000000"/>
              </w:rPr>
              <w:t xml:space="preserve">  указана разделе IV «Техническое задание» и/или разделе V «Проект договора»  документации о закупке.</w:t>
            </w:r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1886"/>
        </w:trPr>
        <w:tc>
          <w:tcPr>
            <w:shd w:val="clear" w:color="auto" w:fill="f2f2f2"/>
            <w:tcW w:w="3227" w:type="dxa"/>
            <w:vAlign w:val="top"/>
            <w:textDirection w:val="lrTb"/>
            <w:noWrap w:val="false"/>
          </w:tcPr>
          <w:p>
            <w:pPr>
              <w:pStyle w:val="910"/>
            </w:pPr>
            <w:r>
              <w:t xml:space="preserve">Место, условия и сроки (периоды) </w:t>
            </w:r>
            <w:r>
              <w:t xml:space="preserve">оказания услуг</w:t>
            </w:r>
            <w:r/>
          </w:p>
        </w:tc>
        <w:tc>
          <w:tcPr>
            <w:tcW w:w="6838" w:type="dxa"/>
            <w:vAlign w:val="center"/>
            <w:textDirection w:val="lrTb"/>
            <w:noWrap w:val="false"/>
          </w:tcPr>
          <w:p>
            <w:pPr>
              <w:pStyle w:val="910"/>
            </w:pPr>
            <w:r>
              <w:t xml:space="preserve">Место </w:t>
            </w:r>
            <w:r>
              <w:t xml:space="preserve">оказания услуг</w:t>
            </w:r>
            <w:r>
              <w:t xml:space="preserve">: </w:t>
            </w:r>
            <w:r/>
          </w:p>
          <w:p>
            <w:pPr>
              <w:pStyle w:val="910"/>
              <w:jc w:val="both"/>
            </w:pPr>
            <w:r>
              <w:t xml:space="preserve">г. Санкт-Петербург и Ленинградская область.</w:t>
            </w:r>
            <w:r/>
          </w:p>
          <w:p>
            <w:pPr>
              <w:pStyle w:val="910"/>
            </w:pPr>
            <w:r/>
            <w:r/>
          </w:p>
          <w:p>
            <w:pPr>
              <w:pStyle w:val="910"/>
            </w:pPr>
            <w:r>
              <w:t xml:space="preserve">Срок </w:t>
            </w:r>
            <w:r>
              <w:t xml:space="preserve">оказания услуг</w:t>
            </w:r>
            <w:r>
              <w:t xml:space="preserve">:  </w:t>
            </w:r>
            <w:r/>
          </w:p>
          <w:p>
            <w:pPr>
              <w:pStyle w:val="910"/>
            </w:pPr>
            <w:r>
              <w:t xml:space="preserve">01.07.2026</w:t>
            </w:r>
            <w:r>
              <w:t xml:space="preserve"> - </w:t>
            </w:r>
            <w:r>
              <w:t xml:space="preserve">31.12.2027</w:t>
            </w:r>
            <w:r>
              <w:t xml:space="preserve"> по заявкам от Заказчика.</w:t>
            </w:r>
            <w:r/>
          </w:p>
          <w:p>
            <w:pPr>
              <w:pStyle w:val="910"/>
            </w:pPr>
            <w:r/>
            <w:r/>
          </w:p>
          <w:p>
            <w:pPr>
              <w:pStyle w:val="910"/>
              <w:jc w:val="both"/>
            </w:pPr>
            <w:r>
              <w:t xml:space="preserve">Более подробная информация о месте, условиях и сроках (периодах) </w:t>
            </w:r>
            <w:r>
              <w:t xml:space="preserve">оказания услуг</w:t>
            </w:r>
            <w:r>
              <w:t xml:space="preserve">, указана в разделе IV «Техническое задание» и/или разделе V «Проект договора» документации о закупке.</w:t>
            </w:r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1134"/>
        </w:trPr>
        <w:tc>
          <w:tcPr>
            <w:shd w:val="clear" w:color="auto" w:fill="f2f2f2"/>
            <w:tcBorders>
              <w:bottom w:val="single" w:color="000000" w:sz="4" w:space="0"/>
            </w:tcBorders>
            <w:tcW w:w="3227" w:type="dxa"/>
            <w:vAlign w:val="top"/>
            <w:textDirection w:val="lrTb"/>
            <w:noWrap w:val="false"/>
          </w:tcPr>
          <w:p>
            <w:pPr>
              <w:pStyle w:val="910"/>
            </w:pPr>
            <w:r>
              <w:t xml:space="preserve">Сведения о начальной (максимальной) цене договора (цене закупки), конкретный размер начальной (максимальной) цены договора, либо формула цены, указание максимального значения цены договора, либо цены единицы </w:t>
            </w:r>
            <w:r>
              <w:t xml:space="preserve">услуги</w:t>
            </w:r>
            <w:r>
              <w:t xml:space="preserve"> и максимального значения цены договора</w:t>
            </w:r>
            <w:r/>
          </w:p>
        </w:tc>
        <w:tc>
          <w:tcPr>
            <w:tcBorders>
              <w:bottom w:val="single" w:color="000000" w:sz="4" w:space="0"/>
            </w:tcBorders>
            <w:tcW w:w="6838" w:type="dxa"/>
            <w:vAlign w:val="top"/>
            <w:textDirection w:val="lrTb"/>
            <w:noWrap w:val="false"/>
          </w:tcPr>
          <w:p>
            <w:pPr>
              <w:pStyle w:val="910"/>
              <w:jc w:val="both"/>
            </w:pPr>
            <w:r>
              <w:t xml:space="preserve">Начальная (максимальная) цена</w:t>
            </w:r>
            <w:r>
              <w:t xml:space="preserve"> рамочного</w:t>
            </w:r>
            <w:r>
              <w:t xml:space="preserve"> договора (цена закупки):</w:t>
            </w:r>
            <w:r/>
          </w:p>
          <w:p>
            <w:pPr>
              <w:pStyle w:val="910"/>
              <w:jc w:val="both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910"/>
              <w:jc w:val="both"/>
            </w:pPr>
            <w:r>
              <w:rPr>
                <w:b/>
              </w:rPr>
            </w:r>
            <w:r>
              <w:rPr>
                <w:b/>
              </w:rPr>
              <w:t xml:space="preserve">79 737 666,50</w:t>
            </w:r>
            <w:r>
              <w:rPr>
                <w:b/>
              </w:rPr>
              <w:t xml:space="preserve"> рублей с НДС</w:t>
            </w:r>
            <w:r>
              <w:t xml:space="preserve">;</w:t>
            </w:r>
            <w:r/>
          </w:p>
          <w:p>
            <w:pPr>
              <w:pStyle w:val="91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pStyle w:val="910"/>
              <w:jc w:val="both"/>
            </w:pPr>
            <w:r>
              <w:t xml:space="preserve">14 378 923,47</w:t>
            </w:r>
            <w:r>
              <w:t xml:space="preserve"> руб. НДС-22%</w:t>
            </w:r>
            <w:r/>
          </w:p>
          <w:p>
            <w:pPr>
              <w:pStyle w:val="91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pStyle w:val="910"/>
            </w:pPr>
            <w:r>
              <w:t xml:space="preserve">65 358 743,03</w:t>
            </w:r>
            <w:r>
              <w:t xml:space="preserve"> </w:t>
            </w:r>
            <w:r>
              <w:t xml:space="preserve">рублей без НДС.</w:t>
            </w:r>
            <w:r/>
          </w:p>
          <w:p>
            <w:pPr>
              <w:pStyle w:val="910"/>
              <w:jc w:val="both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</w:r>
            <w:r>
              <w:rPr>
                <w:b/>
                <w:sz w:val="16"/>
                <w:szCs w:val="16"/>
              </w:rPr>
            </w:r>
            <w:r>
              <w:rPr>
                <w:b/>
                <w:sz w:val="16"/>
                <w:szCs w:val="16"/>
              </w:rPr>
            </w:r>
          </w:p>
          <w:p>
            <w:pPr>
              <w:pStyle w:val="91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pStyle w:val="910"/>
              <w:jc w:val="both"/>
              <w:shd w:val="clear" w:color="auto" w:fill="ffffff"/>
              <w:widowControl w:val="off"/>
              <w:tabs>
                <w:tab w:val="left" w:pos="709" w:leader="none"/>
              </w:tabs>
            </w:pPr>
            <w:r>
              <w:t xml:space="preserve">Стоимость единичных расценок:</w:t>
            </w:r>
            <w:r/>
          </w:p>
          <w:p>
            <w:pPr>
              <w:pStyle w:val="910"/>
              <w:jc w:val="both"/>
              <w:shd w:val="clear" w:color="auto" w:fill="ffffff"/>
              <w:widowControl w:val="off"/>
              <w:tabs>
                <w:tab w:val="left" w:pos="709" w:leader="none"/>
              </w:tabs>
              <w:rPr>
                <w:sz w:val="16"/>
                <w:szCs w:val="16"/>
              </w:rPr>
            </w:pPr>
            <w:r>
              <w:t xml:space="preserve"> 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pStyle w:val="910"/>
            </w:pPr>
            <w:r>
              <w:t xml:space="preserve">18 025 021,99</w:t>
            </w:r>
            <w:r>
              <w:t xml:space="preserve"> рублей с НДС;</w:t>
            </w:r>
            <w:r/>
          </w:p>
          <w:p>
            <w:pPr>
              <w:pStyle w:val="91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pStyle w:val="910"/>
            </w:pPr>
            <w:r>
              <w:t xml:space="preserve">3 250 413,80 рублей. НДС-22%</w:t>
            </w:r>
            <w:r/>
          </w:p>
          <w:p>
            <w:pPr>
              <w:pStyle w:val="910"/>
              <w:jc w:val="both"/>
              <w:shd w:val="clear" w:color="auto" w:fill="ffffff"/>
              <w:widowControl w:val="off"/>
              <w:tabs>
                <w:tab w:val="left" w:pos="709" w:leader="none"/>
              </w:tabs>
              <w:rPr>
                <w:color w:val="ff0000"/>
                <w:sz w:val="16"/>
                <w:szCs w:val="16"/>
              </w:rPr>
            </w:pPr>
            <w:r>
              <w:rPr>
                <w:color w:val="ff0000"/>
                <w:sz w:val="16"/>
                <w:szCs w:val="16"/>
              </w:rPr>
            </w:r>
            <w:r>
              <w:rPr>
                <w:color w:val="ff0000"/>
                <w:sz w:val="16"/>
                <w:szCs w:val="16"/>
              </w:rPr>
            </w:r>
            <w:r>
              <w:rPr>
                <w:color w:val="ff0000"/>
                <w:sz w:val="16"/>
                <w:szCs w:val="16"/>
              </w:rPr>
            </w:r>
          </w:p>
          <w:p>
            <w:pPr>
              <w:pStyle w:val="910"/>
            </w:pPr>
            <w:r>
              <w:t xml:space="preserve">14 774 608,19 рублей без НДС.</w:t>
            </w:r>
            <w:r/>
          </w:p>
          <w:p>
            <w:pPr>
              <w:pStyle w:val="910"/>
              <w:jc w:val="both"/>
            </w:pPr>
            <w:r/>
            <w:r/>
          </w:p>
          <w:p>
            <w:pPr>
              <w:pStyle w:val="910"/>
              <w:jc w:val="both"/>
              <w:shd w:val="clear" w:color="auto" w:fill="ffffff"/>
              <w:widowControl w:val="off"/>
              <w:tabs>
                <w:tab w:val="left" w:pos="709" w:leader="none"/>
              </w:tabs>
            </w:pPr>
            <w:r>
              <w:t xml:space="preserve">Единичные расценки приведены в Приложении № </w:t>
            </w:r>
            <w:r>
              <w:t xml:space="preserve">1</w:t>
            </w:r>
            <w:r>
              <w:t xml:space="preserve"> к ТЗ.</w:t>
            </w:r>
            <w:r/>
          </w:p>
          <w:p>
            <w:pPr>
              <w:pStyle w:val="910"/>
              <w:jc w:val="both"/>
              <w:shd w:val="clear" w:color="auto" w:fill="ffffff"/>
              <w:widowControl w:val="off"/>
              <w:rPr>
                <w:bCs/>
              </w:rPr>
            </w:pPr>
            <w:r>
              <w:rPr>
                <w:bCs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  <w:p>
            <w:pPr>
              <w:pStyle w:val="910"/>
              <w:jc w:val="both"/>
              <w:shd w:val="clear" w:color="auto" w:fill="ffffff"/>
              <w:widowControl w:val="off"/>
            </w:pPr>
            <w:r>
              <w:rPr>
                <w:bCs/>
              </w:rPr>
              <w:t xml:space="preserve">Единичные расценки, предлагаемые участником, должны быть не выше начальной (максимальной) цены единицы </w:t>
            </w:r>
            <w:r>
              <w:rPr>
                <w:bCs/>
              </w:rPr>
              <w:t xml:space="preserve">услуги</w:t>
            </w:r>
            <w:r>
              <w:rPr>
                <w:bCs/>
              </w:rPr>
              <w:t xml:space="preserve"> </w:t>
            </w:r>
            <w:r>
              <w:rPr>
                <w:bCs/>
              </w:rPr>
              <w:br w:type="textWrapping" w:clear="all"/>
            </w:r>
            <w:r>
              <w:rPr>
                <w:bCs/>
              </w:rPr>
              <w:t xml:space="preserve">(руб. без НДС).</w:t>
            </w:r>
            <w:r/>
          </w:p>
          <w:p>
            <w:pPr>
              <w:pStyle w:val="910"/>
              <w:jc w:val="both"/>
              <w:framePr w:hSpace="180" w:wrap="around" w:vAnchor="page" w:hAnchor="margin" w:x="-601" w:y="710"/>
            </w:pPr>
            <w:r/>
            <w:r/>
          </w:p>
          <w:p>
            <w:pPr>
              <w:pStyle w:val="910"/>
              <w:jc w:val="both"/>
            </w:pPr>
            <w:r>
              <w:t xml:space="preserve">При снижении участником, представленных заказчиком расценок, процент снижения должен быть одинаковым по всему перечню расценок. В случае невыполнения данного требования при подаче предложения участником, такое предложение участника подлежит отклонению.</w:t>
            </w:r>
            <w:r/>
          </w:p>
          <w:p>
            <w:pPr>
              <w:pStyle w:val="910"/>
              <w:jc w:val="both"/>
            </w:pPr>
            <w:r/>
            <w:r/>
          </w:p>
          <w:p>
            <w:pPr>
              <w:pStyle w:val="910"/>
              <w:jc w:val="both"/>
            </w:pPr>
            <w:r>
              <w:t xml:space="preserve">В соответствии с пунктом 4.1.3. документации о закупке</w:t>
            </w:r>
            <w:r>
              <w:t xml:space="preserve"> </w:t>
            </w:r>
            <w:r>
              <w:t xml:space="preserve">ц</w:t>
            </w:r>
            <w:r>
              <w:t xml:space="preserve">ена </w:t>
            </w:r>
            <w:r>
              <w:t xml:space="preserve">договора, предлагаемая участником закупки, должна быть равна начальной (максимальной) цене договора (цене закупки)</w:t>
            </w:r>
            <w:r>
              <w:t xml:space="preserve">, указанн</w:t>
            </w:r>
            <w:r>
              <w:t xml:space="preserve">ой</w:t>
            </w:r>
            <w:r>
              <w:t xml:space="preserve"> в извещении</w:t>
            </w:r>
            <w:r>
              <w:t xml:space="preserve"> о проведении </w:t>
            </w:r>
            <w:r>
              <w:t xml:space="preserve">конкурса</w:t>
            </w:r>
            <w:r>
              <w:t xml:space="preserve"> и </w:t>
            </w:r>
            <w:r>
              <w:br w:type="textWrapping" w:clear="all"/>
            </w:r>
            <w:r>
              <w:t xml:space="preserve">п.п. 1.3.1, 3.5.1 части </w:t>
            </w:r>
            <w:r>
              <w:rPr>
                <w:lang w:val="en-US"/>
              </w:rPr>
              <w:t xml:space="preserve">I</w:t>
            </w:r>
            <w:r>
              <w:t xml:space="preserve"> «ОБЩИЕ УСЛОВИЯ ПРОВЕДЕНИЯ ЗАКУПКИ» документации о закупке, </w:t>
            </w:r>
            <w:r>
              <w:t xml:space="preserve">при этом в случае, если участник закупки находится на упрощенной системе налогообложения либо </w:t>
            </w:r>
            <w:r>
              <w:t xml:space="preserve">услуги</w:t>
            </w:r>
            <w:r>
              <w:t xml:space="preserve"> участника не облагаются Н</w:t>
            </w:r>
            <w:r>
              <w:t xml:space="preserve">ДС, учитывается ценовое предложение участника без НДС относительно начальной (максимальной) цены договора (цены закупки) с учётом исключённого из неё НДС (превышение показателя стоимости без НДС, указанного в порядке определения стоимости НМЦ, недопустимо)</w:t>
            </w:r>
            <w:r>
              <w:t xml:space="preserve">.</w:t>
            </w:r>
            <w:r/>
          </w:p>
          <w:p>
            <w:pPr>
              <w:pStyle w:val="91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pStyle w:val="910"/>
              <w:jc w:val="both"/>
            </w:pPr>
            <w:r>
              <w:t xml:space="preserve">Начальная</w:t>
            </w:r>
            <w:r>
              <w:t xml:space="preserve"> (максимальная) цена договора включает в себя: все затраты, накладные расходы, налоги, пошлины, таможенные платежи, страхование и прочие сборы, которые исполнитель договора должен оплачивать в соответствии с условиями договора или на иных основаниях (обосн</w:t>
            </w:r>
            <w:r>
              <w:t xml:space="preserve">ование НМЦ указано в Приложении </w:t>
            </w:r>
            <w:r>
              <w:t xml:space="preserve">№3 к документации о закупке – «Обоснование начальной (максимальной) цены закупки»).</w:t>
            </w:r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1758"/>
        </w:trPr>
        <w:tc>
          <w:tcPr>
            <w:shd w:val="clear" w:color="auto" w:fill="f2f2f2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3227" w:type="dxa"/>
            <w:vAlign w:val="top"/>
            <w:textDirection w:val="lrTb"/>
            <w:noWrap w:val="false"/>
          </w:tcPr>
          <w:p>
            <w:pPr>
              <w:pStyle w:val="910"/>
            </w:pPr>
            <w:r>
              <w:t xml:space="preserve">С</w:t>
            </w:r>
            <w:r>
              <w:t xml:space="preserve">рок, место и порядок предос</w:t>
            </w:r>
            <w:r>
              <w:t xml:space="preserve">тавления документации о закупке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38" w:type="dxa"/>
            <w:vAlign w:val="top"/>
            <w:textDirection w:val="lrTb"/>
            <w:noWrap w:val="false"/>
          </w:tcPr>
          <w:p>
            <w:pPr>
              <w:pStyle w:val="910"/>
              <w:jc w:val="both"/>
            </w:pPr>
            <w:r>
              <w:t xml:space="preserve">Документация о закупке в полном объеме в электронном виде безвозм</w:t>
            </w:r>
            <w:r>
              <w:t xml:space="preserve">ездно доступна для ознакомления на официальном сайте Единой информационной системы в сфере закупок (далее - ЕИС) www.zakupki.gov.ru, а также на сайте электронной торговой площадки (далее – ЭТП) https://tender.lot-online.ru/ в разделе «Россети», начиная с «</w:t>
            </w:r>
            <w:r>
              <w:t xml:space="preserve">27</w:t>
            </w:r>
            <w:r>
              <w:t xml:space="preserve">» апреля</w:t>
            </w:r>
            <w:r>
              <w:t xml:space="preserve"> </w:t>
            </w:r>
            <w:r>
              <w:t xml:space="preserve">2026</w:t>
            </w:r>
            <w:r>
              <w:t xml:space="preserve"> г.</w:t>
            </w:r>
            <w:r>
              <w:t xml:space="preserve"> </w:t>
            </w:r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973"/>
        </w:trPr>
        <w:tc>
          <w:tcPr>
            <w:shd w:val="clear" w:color="auto" w:fill="f2f2f2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3227" w:type="dxa"/>
            <w:vAlign w:val="top"/>
            <w:textDirection w:val="lrTb"/>
            <w:noWrap w:val="false"/>
          </w:tcPr>
          <w:p>
            <w:pPr>
              <w:pStyle w:val="910"/>
            </w:pPr>
            <w:r>
              <w:t xml:space="preserve">Адрес электронной площадки в информационно-телекоммуникационной сети «Интернет»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38" w:type="dxa"/>
            <w:vAlign w:val="center"/>
            <w:textDirection w:val="lrTb"/>
            <w:noWrap w:val="false"/>
          </w:tcPr>
          <w:p>
            <w:pPr>
              <w:pStyle w:val="910"/>
            </w:pPr>
            <w:r>
              <w:fldChar w:fldCharType="begin"/>
            </w:r>
            <w:r>
              <w:instrText xml:space="preserve"> HYPERLINK "https://tender.lot-online.ru/" </w:instrText>
            </w:r>
            <w:r>
              <w:fldChar w:fldCharType="separate"/>
            </w:r>
            <w:r>
              <w:rPr>
                <w:rStyle w:val="918"/>
              </w:rPr>
              <w:t xml:space="preserve">https://tender.lot-online.ru/</w:t>
            </w:r>
            <w:r>
              <w:fldChar w:fldCharType="end"/>
            </w:r>
            <w:r>
              <w:t xml:space="preserve"> (раздел «Россети»).</w:t>
            </w:r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13740"/>
        </w:trPr>
        <w:tc>
          <w:tcPr>
            <w:shd w:val="clear" w:color="auto" w:fill="f2f2f2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3227" w:type="dxa"/>
            <w:vAlign w:val="top"/>
            <w:textDirection w:val="lrTb"/>
            <w:noWrap w:val="false"/>
          </w:tcPr>
          <w:p>
            <w:pPr>
              <w:pStyle w:val="910"/>
              <w:jc w:val="both"/>
            </w:pPr>
            <w:r>
              <w:t xml:space="preserve">Порядок, дата начала, дата и время окончания срока подачи заявок на участие в закупке 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38" w:type="dxa"/>
            <w:vAlign w:val="top"/>
            <w:textDirection w:val="lrTb"/>
            <w:noWrap w:val="false"/>
          </w:tcPr>
          <w:p>
            <w:pPr>
              <w:pStyle w:val="910"/>
              <w:jc w:val="both"/>
            </w:pPr>
            <w:r>
              <w:t xml:space="preserve">Заявка подается в электронной форме с использованием функционала и в соответствии с Регламентом работы ЭТП.</w:t>
            </w:r>
            <w:r/>
          </w:p>
          <w:p>
            <w:pPr>
              <w:pStyle w:val="910"/>
              <w:jc w:val="both"/>
            </w:pPr>
            <w:r>
              <w:t xml:space="preserve">Участник должен принять во внимание, что согласно </w:t>
              <w:br w:type="textWrapping" w:clear="all"/>
              <w:t xml:space="preserve">ч. 21 ст.</w:t>
            </w:r>
            <w:r>
              <w:t xml:space="preserve"> 3.4 Федерального закона от 18.07.2011 № 223-ФЗ «О закупках товаров, работ, услуг отдельными видами юридических лиц» заявка участника состоит из двух частей и предложения участника закупки о цене договора (цене закупки), при этом:</w:t>
            </w:r>
            <w:r/>
          </w:p>
          <w:p>
            <w:pPr>
              <w:pStyle w:val="910"/>
              <w:jc w:val="both"/>
            </w:pPr>
            <w:r>
              <w:t xml:space="preserve">- первая часть содержит предложение в отношении предмета закупки (В СЛУЧАЕ СОДЕРЖАНИЯ В ПЕРВОЙ ЧАСТИ ЗАЯВКИ НА УЧАСТИЕ В </w:t>
            </w:r>
            <w:r>
              <w:t xml:space="preserve">КОНКУРСЕ</w:t>
            </w:r>
            <w:r>
              <w:t xml:space="preserve"> В ЭЛЕКТРОННОЙ ФОРМЕ СВЕДЕНИЙ ОБ УЧАСТНИКЕ </w:t>
            </w:r>
            <w:r>
              <w:t xml:space="preserve">КОНКУРСА</w:t>
            </w:r>
            <w:r>
              <w:t xml:space="preserve"> И (ИЛИ) О ЦЕНОВОМ ПРЕДЛОЖЕНИИ ДАННАЯ ЗАЯВКА ПОДЛЕЖИТ ОТКЛОНЕНИЮ).</w:t>
            </w:r>
            <w:r/>
          </w:p>
          <w:p>
            <w:pPr>
              <w:pStyle w:val="910"/>
              <w:jc w:val="both"/>
            </w:pPr>
            <w:r>
              <w:t xml:space="preserve">- вторая часть сод</w:t>
            </w:r>
            <w:r>
              <w:t xml:space="preserve">ержит сведения об участнике, о соответствии его требованиям, установленным документацией о закупке, о предложении участника о функциональных характеристиках (потребительских свойствах) товара, качестве работы, услуги и об иных условиях исполнения договора.</w:t>
            </w:r>
            <w:r/>
          </w:p>
          <w:p>
            <w:pPr>
              <w:pStyle w:val="91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pStyle w:val="910"/>
              <w:jc w:val="both"/>
            </w:pPr>
            <w:r>
              <w:t xml:space="preserve">Дата начала срока подачи заявок: «</w:t>
            </w:r>
            <w:r>
              <w:t xml:space="preserve">27</w:t>
            </w:r>
            <w:r>
              <w:t xml:space="preserve">» апреля</w:t>
            </w:r>
            <w:r>
              <w:t xml:space="preserve"> </w:t>
            </w:r>
            <w:r>
              <w:t xml:space="preserve">2026</w:t>
            </w:r>
            <w:r>
              <w:t xml:space="preserve"> года.</w:t>
            </w:r>
            <w:r/>
          </w:p>
          <w:p>
            <w:pPr>
              <w:pStyle w:val="910"/>
              <w:jc w:val="both"/>
            </w:pPr>
            <w:r>
              <w:t xml:space="preserve">Дата и время окончания срока, последний день срока подачи Заявок:</w:t>
            </w:r>
            <w:r/>
          </w:p>
          <w:p>
            <w:pPr>
              <w:pStyle w:val="910"/>
              <w:jc w:val="both"/>
            </w:pPr>
            <w:r>
              <w:t xml:space="preserve">«</w:t>
            </w:r>
            <w:r>
              <w:t xml:space="preserve">13</w:t>
            </w:r>
            <w:r>
              <w:t xml:space="preserve">» мая </w:t>
            </w:r>
            <w:r>
              <w:t xml:space="preserve">2026</w:t>
            </w:r>
            <w:r>
              <w:t xml:space="preserve"> года 11:00 (время московское)</w:t>
            </w:r>
            <w:r/>
          </w:p>
          <w:p>
            <w:pPr>
              <w:pStyle w:val="91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pStyle w:val="910"/>
              <w:jc w:val="both"/>
            </w:pPr>
            <w:r>
              <w:t xml:space="preserve">Рассмотрение первых частей заявок: </w:t>
            </w:r>
            <w:r/>
          </w:p>
          <w:p>
            <w:pPr>
              <w:pStyle w:val="910"/>
              <w:jc w:val="both"/>
            </w:pPr>
            <w:r>
              <w:t xml:space="preserve">Дата начала проведения этапа: с момента направления оператором ЭТП заказчику первый частей заявок;</w:t>
            </w:r>
            <w:r/>
          </w:p>
          <w:p>
            <w:pPr>
              <w:pStyle w:val="910"/>
              <w:jc w:val="both"/>
            </w:pPr>
            <w:r>
              <w:t xml:space="preserve">Дата окончания проведения этапа: «</w:t>
            </w:r>
            <w:r>
              <w:t xml:space="preserve">19</w:t>
            </w:r>
            <w:r>
              <w:t xml:space="preserve">» мая</w:t>
            </w:r>
            <w:r>
              <w:t xml:space="preserve"> </w:t>
            </w:r>
            <w:r>
              <w:t xml:space="preserve">2026</w:t>
            </w:r>
            <w:r>
              <w:t xml:space="preserve"> года.</w:t>
            </w:r>
            <w:r/>
          </w:p>
          <w:p>
            <w:pPr>
              <w:pStyle w:val="91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pStyle w:val="910"/>
              <w:jc w:val="both"/>
            </w:pPr>
            <w:r>
              <w:t xml:space="preserve">Подача дополнительных ценовых предложений участников закупки:</w:t>
            </w:r>
            <w:r/>
          </w:p>
          <w:p>
            <w:pPr>
              <w:pStyle w:val="910"/>
              <w:jc w:val="both"/>
            </w:pPr>
            <w:r>
              <w:t xml:space="preserve">Дата проведения этапа: «</w:t>
            </w:r>
            <w:r>
              <w:t xml:space="preserve">20</w:t>
            </w:r>
            <w:r>
              <w:t xml:space="preserve">» мая</w:t>
            </w:r>
            <w:r>
              <w:t xml:space="preserve"> </w:t>
            </w:r>
            <w:r>
              <w:t xml:space="preserve">2026</w:t>
            </w:r>
            <w:r>
              <w:t xml:space="preserve"> г.</w:t>
            </w:r>
            <w:r/>
          </w:p>
          <w:p>
            <w:pPr>
              <w:pStyle w:val="910"/>
              <w:jc w:val="both"/>
            </w:pPr>
            <w:r>
              <w:t xml:space="preserve">Информация о времени начала подачи дополнительных ценовых предложений размещается оператором ЭТП в единой информационной системе. </w:t>
            </w:r>
            <w:r/>
          </w:p>
          <w:p>
            <w:pPr>
              <w:pStyle w:val="910"/>
              <w:jc w:val="both"/>
            </w:pPr>
            <w:r>
              <w:t xml:space="preserve">Продолжительность приема дополнительных ценовых предложений от участников закупки составляет три часа.</w:t>
            </w:r>
            <w:r/>
          </w:p>
          <w:p>
            <w:pPr>
              <w:pStyle w:val="91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pStyle w:val="910"/>
              <w:jc w:val="both"/>
            </w:pPr>
            <w:r>
              <w:t xml:space="preserve">Рассмотрение и оценка вторых частей заявок:</w:t>
            </w:r>
            <w:r/>
          </w:p>
          <w:p>
            <w:pPr>
              <w:pStyle w:val="910"/>
              <w:jc w:val="both"/>
            </w:pPr>
            <w:r>
              <w:t xml:space="preserve">Дата начала проведения этапа: «</w:t>
            </w:r>
            <w:r>
              <w:t xml:space="preserve">21</w:t>
            </w:r>
            <w:r>
              <w:t xml:space="preserve">» мая</w:t>
            </w:r>
            <w:r>
              <w:t xml:space="preserve"> </w:t>
            </w:r>
            <w:r>
              <w:t xml:space="preserve">2026</w:t>
            </w:r>
            <w:r>
              <w:t xml:space="preserve"> года.</w:t>
            </w:r>
            <w:r/>
          </w:p>
          <w:p>
            <w:pPr>
              <w:pStyle w:val="910"/>
              <w:jc w:val="both"/>
            </w:pPr>
            <w:r>
              <w:t xml:space="preserve">Дата окончания проведения этапа: «</w:t>
            </w:r>
            <w:r>
              <w:t xml:space="preserve">27</w:t>
            </w:r>
            <w:r>
              <w:t xml:space="preserve">» мая</w:t>
            </w:r>
            <w:r>
              <w:t xml:space="preserve"> </w:t>
            </w:r>
            <w:r>
              <w:t xml:space="preserve">2026</w:t>
            </w:r>
            <w:r>
              <w:t xml:space="preserve"> года.</w:t>
            </w:r>
            <w:r/>
          </w:p>
          <w:p>
            <w:pPr>
              <w:pStyle w:val="91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pStyle w:val="910"/>
              <w:jc w:val="both"/>
            </w:pPr>
            <w:r>
              <w:t xml:space="preserve">Подведение итогов закупки: </w:t>
            </w:r>
            <w:r/>
          </w:p>
          <w:p>
            <w:pPr>
              <w:pStyle w:val="910"/>
              <w:jc w:val="both"/>
            </w:pPr>
            <w:r>
              <w:t xml:space="preserve">Дата начала проведения этапа: «</w:t>
            </w:r>
            <w:r>
              <w:t xml:space="preserve">28</w:t>
            </w:r>
            <w:r>
              <w:t xml:space="preserve">» мая</w:t>
            </w:r>
            <w:r>
              <w:t xml:space="preserve"> </w:t>
            </w:r>
            <w:r>
              <w:t xml:space="preserve">2026</w:t>
            </w:r>
            <w:r>
              <w:t xml:space="preserve"> года.</w:t>
            </w:r>
            <w:r/>
          </w:p>
          <w:p>
            <w:pPr>
              <w:pStyle w:val="910"/>
              <w:jc w:val="both"/>
            </w:pPr>
            <w:r>
              <w:t xml:space="preserve">Дата окончания проведения этапа: «</w:t>
            </w:r>
            <w:r>
              <w:t xml:space="preserve">28</w:t>
            </w:r>
            <w:r>
              <w:t xml:space="preserve">» мая</w:t>
            </w:r>
            <w:r>
              <w:t xml:space="preserve"> </w:t>
            </w:r>
            <w:r>
              <w:t xml:space="preserve">2026</w:t>
            </w:r>
            <w:r>
              <w:t xml:space="preserve"> года.</w:t>
            </w:r>
            <w:r/>
          </w:p>
          <w:p>
            <w:pPr>
              <w:pStyle w:val="91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pStyle w:val="910"/>
              <w:jc w:val="both"/>
            </w:pPr>
            <w:r>
              <w:t xml:space="preserve">Подробный порядок проведения закупки, а также порядок проведения каждого этапа закупки определяется документацией о закупке, а также Регламентом работы ЭТП.</w:t>
            </w:r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516"/>
        </w:trPr>
        <w:tc>
          <w:tcPr>
            <w:shd w:val="clear" w:color="auto" w:fill="f2f2f2"/>
            <w:tcBorders>
              <w:top w:val="single" w:color="000000" w:sz="4" w:space="0"/>
            </w:tcBorders>
            <w:tcW w:w="3227" w:type="dxa"/>
            <w:vAlign w:val="top"/>
            <w:textDirection w:val="lrTb"/>
            <w:noWrap w:val="false"/>
          </w:tcPr>
          <w:p>
            <w:pPr>
              <w:pStyle w:val="910"/>
            </w:pPr>
            <w:r>
              <w:t xml:space="preserve">Обеспечение заявок на участие в закупке</w:t>
            </w:r>
            <w:r/>
          </w:p>
          <w:p>
            <w:pPr>
              <w:pStyle w:val="910"/>
            </w:pPr>
            <w:r/>
            <w:r/>
          </w:p>
          <w:p>
            <w:pPr>
              <w:pStyle w:val="910"/>
            </w:pPr>
            <w:r>
              <w:t xml:space="preserve">Размер, порядок предоставления обеспечения заявок на участие в закупке</w:t>
            </w:r>
            <w:r/>
          </w:p>
        </w:tc>
        <w:tc>
          <w:tcPr>
            <w:tcBorders>
              <w:top w:val="single" w:color="000000" w:sz="4" w:space="0"/>
            </w:tcBorders>
            <w:tcW w:w="6838" w:type="dxa"/>
            <w:vAlign w:val="top"/>
            <w:textDirection w:val="lrTb"/>
            <w:noWrap w:val="false"/>
          </w:tcPr>
          <w:p>
            <w:pPr>
              <w:pStyle w:val="910"/>
              <w:jc w:val="both"/>
              <w:keepLines/>
              <w:widowControl w:val="off"/>
              <w:suppressLineNumbers/>
            </w:pPr>
            <w:r>
              <w:t xml:space="preserve">Обеспечение заявок на участие в закупке предусмотрен</w:t>
            </w:r>
            <w:r>
              <w:t xml:space="preserve">о</w:t>
            </w:r>
            <w:r>
              <w:t xml:space="preserve"> в размере 2% от начальной (максимальной) цены договора (начальной (максимальной) цены закупки), что составляет        </w:t>
            </w:r>
            <w:r>
              <w:t xml:space="preserve">                  </w:t>
            </w:r>
            <w:r>
              <w:t xml:space="preserve">1 594 753,00</w:t>
            </w:r>
            <w:r>
              <w:t xml:space="preserve"> руб.</w:t>
            </w:r>
            <w:r>
              <w:t xml:space="preserve"> НДС не облагается.</w:t>
            </w:r>
            <w:r/>
          </w:p>
          <w:p>
            <w:pPr>
              <w:pStyle w:val="910"/>
              <w:jc w:val="both"/>
              <w:keepLines/>
              <w:widowControl w:val="off"/>
              <w:rPr>
                <w:sz w:val="12"/>
                <w:szCs w:val="12"/>
              </w:rPr>
              <w:suppressLineNumbers/>
            </w:pPr>
            <w:r>
              <w:rPr>
                <w:sz w:val="12"/>
                <w:szCs w:val="12"/>
              </w:rPr>
            </w:r>
            <w:r>
              <w:rPr>
                <w:sz w:val="12"/>
                <w:szCs w:val="12"/>
              </w:rPr>
            </w:r>
            <w:r>
              <w:rPr>
                <w:sz w:val="12"/>
                <w:szCs w:val="12"/>
              </w:rPr>
            </w:r>
          </w:p>
          <w:p>
            <w:pPr>
              <w:pStyle w:val="910"/>
              <w:jc w:val="both"/>
              <w:keepLines/>
              <w:widowControl w:val="off"/>
              <w:suppressLineNumbers/>
            </w:pPr>
            <w:r>
              <w:t xml:space="preserve">Срок предоставления обеспечения заявки на участие в закупке: н</w:t>
            </w:r>
            <w:r>
              <w:t xml:space="preserve">е позднее даты и времени окончания срока подачи заявок на участие в закупке, установленные в п. 8 части II «ИНФОРМАЦИОННАЯ КАРТА ЗАКУПКИ. ОТБОРОЧНЫЕ КРИТЕРИИ (ТРЕБОВАНИЯ). ДОКУМЕНТЫ, СОДЕРЖАЩИЕ СВЕДЕНИЯ ДЛЯ РАССМОТРЕНИЯ И ОЦЕНКИ ПО КРИТЕРИЮ. СОСТАВ ЗАЯВКИ»</w:t>
            </w:r>
            <w:r>
              <w:t xml:space="preserve"> документации о закупке.</w:t>
            </w:r>
            <w:r/>
          </w:p>
          <w:p>
            <w:pPr>
              <w:pStyle w:val="910"/>
              <w:jc w:val="both"/>
              <w:keepLines/>
              <w:widowControl w:val="off"/>
              <w:rPr>
                <w:sz w:val="12"/>
                <w:szCs w:val="12"/>
              </w:rPr>
              <w:suppressLineNumbers/>
            </w:pPr>
            <w:r>
              <w:rPr>
                <w:sz w:val="12"/>
                <w:szCs w:val="12"/>
              </w:rPr>
            </w:r>
            <w:r>
              <w:rPr>
                <w:sz w:val="12"/>
                <w:szCs w:val="12"/>
              </w:rPr>
            </w:r>
            <w:r>
              <w:rPr>
                <w:sz w:val="12"/>
                <w:szCs w:val="12"/>
              </w:rPr>
            </w:r>
          </w:p>
          <w:p>
            <w:pPr>
              <w:pStyle w:val="910"/>
              <w:jc w:val="both"/>
              <w:keepLines/>
              <w:widowControl w:val="off"/>
              <w:suppressLineNumbers/>
            </w:pPr>
            <w:r>
              <w:t xml:space="preserve">Порядок внесения </w:t>
            </w:r>
            <w:r>
              <w:t xml:space="preserve">обеспечительного платежа</w:t>
            </w:r>
            <w:r>
              <w:t xml:space="preserve"> и условия </w:t>
            </w:r>
            <w:r>
              <w:t xml:space="preserve">независимой</w:t>
            </w:r>
            <w:r>
              <w:t xml:space="preserve"> гарантии, а также срок и случаи возврата обеспечения заявок установлены в разделе 3 части I «ОБЩИЕ УСЛОВИЯ ПРОВЕДЕНИЯ ЗАКУПКИ»</w:t>
            </w:r>
            <w:r>
              <w:t xml:space="preserve"> документации о закупке</w:t>
            </w:r>
            <w:r>
              <w:t xml:space="preserve">.</w:t>
            </w:r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1959"/>
        </w:trPr>
        <w:tc>
          <w:tcPr>
            <w:shd w:val="clear" w:color="auto" w:fill="f2f2f2"/>
            <w:tcBorders>
              <w:top w:val="single" w:color="000000" w:sz="4" w:space="0"/>
            </w:tcBorders>
            <w:tcW w:w="3227" w:type="dxa"/>
            <w:vAlign w:val="top"/>
            <w:textDirection w:val="lrTb"/>
            <w:noWrap w:val="false"/>
          </w:tcPr>
          <w:p>
            <w:pPr>
              <w:pStyle w:val="910"/>
            </w:pPr>
            <w:r>
              <w:t xml:space="preserve">Обеспечение исполнения договора</w:t>
            </w:r>
            <w:r/>
          </w:p>
          <w:p>
            <w:pPr>
              <w:pStyle w:val="910"/>
            </w:pPr>
            <w:r/>
            <w:r/>
          </w:p>
          <w:p>
            <w:pPr>
              <w:pStyle w:val="910"/>
            </w:pPr>
            <w:r>
              <w:t xml:space="preserve">Размер, порядок предоставления  обеспечения исполнения договора</w:t>
            </w:r>
            <w:r/>
          </w:p>
        </w:tc>
        <w:tc>
          <w:tcPr>
            <w:tcBorders>
              <w:top w:val="single" w:color="000000" w:sz="4" w:space="0"/>
            </w:tcBorders>
            <w:tcW w:w="6838" w:type="dxa"/>
            <w:vAlign w:val="top"/>
            <w:textDirection w:val="lrTb"/>
            <w:noWrap w:val="false"/>
          </w:tcPr>
          <w:p>
            <w:pPr>
              <w:pStyle w:val="910"/>
              <w:jc w:val="both"/>
              <w:keepLines/>
              <w:widowControl w:val="off"/>
              <w:suppressLineNumbers/>
            </w:pPr>
            <w:r>
              <w:t xml:space="preserve">Требование не установлено.</w:t>
            </w:r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1398"/>
        </w:trPr>
        <w:tc>
          <w:tcPr>
            <w:shd w:val="clear" w:color="auto" w:fill="f2f2f2"/>
            <w:tcBorders>
              <w:top w:val="single" w:color="000000" w:sz="4" w:space="0"/>
            </w:tcBorders>
            <w:tcW w:w="3227" w:type="dxa"/>
            <w:vAlign w:val="top"/>
            <w:textDirection w:val="lrTb"/>
            <w:noWrap w:val="false"/>
          </w:tcPr>
          <w:p>
            <w:pPr>
              <w:pStyle w:val="951"/>
              <w:jc w:val="both"/>
            </w:pPr>
            <w:r>
              <w:t xml:space="preserve">Предоставление</w:t>
            </w:r>
            <w:r>
              <w:t xml:space="preserve"> </w:t>
            </w:r>
            <w:r>
              <w:t xml:space="preserve">национального режима</w:t>
            </w:r>
            <w:r>
              <w:t xml:space="preserve"> </w:t>
            </w:r>
            <w:r>
              <w:t xml:space="preserve">при</w:t>
            </w:r>
            <w:r>
              <w:t xml:space="preserve"> </w:t>
            </w:r>
            <w:r>
              <w:t xml:space="preserve">осуществлении</w:t>
            </w:r>
            <w:r>
              <w:t xml:space="preserve"> </w:t>
            </w:r>
            <w:r>
              <w:t xml:space="preserve">закупок</w:t>
            </w:r>
            <w:r>
              <w:t xml:space="preserve"> </w:t>
            </w:r>
            <w:r>
              <w:t xml:space="preserve">товаров</w:t>
            </w:r>
            <w:r>
              <w:t xml:space="preserve">, </w:t>
            </w:r>
            <w:r>
              <w:t xml:space="preserve">работ</w:t>
            </w:r>
            <w:r>
              <w:t xml:space="preserve">, </w:t>
            </w:r>
            <w:r>
              <w:t xml:space="preserve">услуг</w:t>
            </w:r>
            <w:r>
              <w:t xml:space="preserve">: </w:t>
            </w:r>
            <w:r/>
          </w:p>
          <w:p>
            <w:pPr>
              <w:pStyle w:val="910"/>
            </w:pPr>
            <w:r/>
            <w:r/>
          </w:p>
        </w:tc>
        <w:tc>
          <w:tcPr>
            <w:tcBorders>
              <w:top w:val="single" w:color="000000" w:sz="4" w:space="0"/>
            </w:tcBorders>
            <w:tcW w:w="6838" w:type="dxa"/>
            <w:vAlign w:val="top"/>
            <w:textDirection w:val="lrTb"/>
            <w:noWrap w:val="false"/>
          </w:tcPr>
          <w:p>
            <w:pPr>
              <w:pStyle w:val="910"/>
              <w:jc w:val="both"/>
            </w:pPr>
            <w:r>
              <w:t xml:space="preserve">В соответствии с Постановле</w:t>
            </w:r>
            <w:r>
              <w:t xml:space="preserve">нием Правительства РФ от 23.12.2024 N 1875"О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лиц"</w:t>
            </w:r>
            <w:r>
              <w:t xml:space="preserve">.</w:t>
            </w:r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1398"/>
        </w:trPr>
        <w:tc>
          <w:tcPr>
            <w:shd w:val="clear" w:color="auto" w:fill="f2f2f2"/>
            <w:tcBorders>
              <w:top w:val="single" w:color="000000" w:sz="4" w:space="0"/>
            </w:tcBorders>
            <w:tcW w:w="3227" w:type="dxa"/>
            <w:vAlign w:val="top"/>
            <w:textDirection w:val="lrTb"/>
            <w:noWrap w:val="false"/>
          </w:tcPr>
          <w:p>
            <w:pPr>
              <w:pStyle w:val="951"/>
              <w:jc w:val="both"/>
            </w:pPr>
            <w:r>
              <w:t xml:space="preserve">Запрет закупок товаров (в том числе поставляемых при в</w:t>
            </w:r>
            <w:r>
              <w:t xml:space="preserve">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гражданами, иностранными юридическими лицами (далее - иностранные лица), по перечню согласно </w:t>
            </w:r>
            <w:r>
              <w:fldChar w:fldCharType="begin"/>
            </w:r>
            <w:r>
              <w:instrText xml:space="preserve"> HYPERLINK \l "P174" \o "ПЕРЕЧЕНЬ" \h </w:instrText>
            </w:r>
            <w:r>
              <w:fldChar w:fldCharType="separate"/>
            </w:r>
            <w:r>
              <w:t xml:space="preserve">приложению N 1</w:t>
            </w:r>
            <w:r>
              <w:fldChar w:fldCharType="end"/>
            </w:r>
            <w:r>
              <w:t xml:space="preserve">.</w:t>
            </w:r>
            <w:r/>
          </w:p>
        </w:tc>
        <w:tc>
          <w:tcPr>
            <w:tcBorders>
              <w:top w:val="single" w:color="000000" w:sz="4" w:space="0"/>
            </w:tcBorders>
            <w:tcW w:w="6838" w:type="dxa"/>
            <w:vAlign w:val="center"/>
            <w:textDirection w:val="lrTb"/>
            <w:noWrap w:val="false"/>
          </w:tcPr>
          <w:p>
            <w:pPr>
              <w:pStyle w:val="910"/>
            </w:pPr>
            <w:r>
              <w:t xml:space="preserve">Требование не установлено</w:t>
            </w:r>
            <w:r>
              <w:t xml:space="preserve">.</w:t>
            </w:r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83"/>
        </w:trPr>
        <w:tc>
          <w:tcPr>
            <w:shd w:val="clear" w:color="auto" w:fill="f2f2f2"/>
            <w:tcBorders>
              <w:top w:val="single" w:color="000000" w:sz="4" w:space="0"/>
            </w:tcBorders>
            <w:tcW w:w="3227" w:type="dxa"/>
            <w:vAlign w:val="top"/>
            <w:textDirection w:val="lrTb"/>
            <w:noWrap w:val="false"/>
          </w:tcPr>
          <w:p>
            <w:pPr>
              <w:pStyle w:val="951"/>
              <w:jc w:val="both"/>
            </w:pPr>
            <w:r>
              <w:t xml:space="preserve">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по перечню согласно </w:t>
            </w:r>
            <w:r>
              <w:fldChar w:fldCharType="begin"/>
            </w:r>
            <w:r>
              <w:instrText xml:space="preserve"> HYPERLINK \l "P661" \o "ПЕРЕЧЕНЬ" \h </w:instrText>
            </w:r>
            <w:r>
              <w:fldChar w:fldCharType="separate"/>
            </w:r>
            <w:r>
              <w:t xml:space="preserve">приложению N 2</w:t>
            </w:r>
            <w:r>
              <w:fldChar w:fldCharType="end"/>
            </w:r>
            <w:r>
              <w:t xml:space="preserve">.</w:t>
            </w:r>
            <w:r/>
          </w:p>
        </w:tc>
        <w:tc>
          <w:tcPr>
            <w:tcBorders>
              <w:top w:val="single" w:color="000000" w:sz="4" w:space="0"/>
            </w:tcBorders>
            <w:tcW w:w="6838" w:type="dxa"/>
            <w:vAlign w:val="center"/>
            <w:textDirection w:val="lrTb"/>
            <w:noWrap w:val="false"/>
          </w:tcPr>
          <w:p>
            <w:pPr>
              <w:pStyle w:val="910"/>
            </w:pPr>
            <w:r>
              <w:t xml:space="preserve">Требование не установлено</w:t>
            </w:r>
            <w:r>
              <w:t xml:space="preserve">.</w:t>
            </w:r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1398"/>
        </w:trPr>
        <w:tc>
          <w:tcPr>
            <w:shd w:val="clear" w:color="auto" w:fill="f2f2f2"/>
            <w:tcBorders>
              <w:top w:val="single" w:color="000000" w:sz="4" w:space="0"/>
            </w:tcBorders>
            <w:tcW w:w="3227" w:type="dxa"/>
            <w:vAlign w:val="top"/>
            <w:textDirection w:val="lrTb"/>
            <w:noWrap w:val="false"/>
          </w:tcPr>
          <w:p>
            <w:pPr>
              <w:pStyle w:val="951"/>
              <w:jc w:val="both"/>
            </w:pPr>
            <w:r>
              <w:t xml:space="preserve">Преимущество в отношении товаров российского происхождения (в том числе поставляемых при выполнении закупаемых работ, оказании закупаемых услуг).</w:t>
            </w:r>
            <w:r/>
          </w:p>
        </w:tc>
        <w:tc>
          <w:tcPr>
            <w:tcBorders>
              <w:top w:val="single" w:color="000000" w:sz="4" w:space="0"/>
            </w:tcBorders>
            <w:tcW w:w="6838" w:type="dxa"/>
            <w:vAlign w:val="center"/>
            <w:textDirection w:val="lrTb"/>
            <w:noWrap w:val="false"/>
          </w:tcPr>
          <w:p>
            <w:pPr>
              <w:pStyle w:val="910"/>
            </w:pPr>
            <w:r>
              <w:t xml:space="preserve">Требование не установлено</w:t>
            </w:r>
            <w:r>
              <w:t xml:space="preserve">.</w:t>
            </w:r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841"/>
        </w:trPr>
        <w:tc>
          <w:tcPr>
            <w:shd w:val="clear" w:color="auto" w:fill="f2f2f2"/>
            <w:tcW w:w="3227" w:type="dxa"/>
            <w:vAlign w:val="top"/>
            <w:textDirection w:val="lrTb"/>
            <w:noWrap w:val="false"/>
          </w:tcPr>
          <w:p>
            <w:pPr>
              <w:pStyle w:val="910"/>
            </w:pPr>
            <w:r>
              <w:t xml:space="preserve">И</w:t>
            </w:r>
            <w:r>
              <w:t xml:space="preserve">ные сведения, о</w:t>
            </w:r>
            <w:r>
              <w:t xml:space="preserve">пределенные П</w:t>
            </w:r>
            <w:r>
              <w:t xml:space="preserve">оложением о закупке</w:t>
            </w:r>
            <w:r/>
          </w:p>
        </w:tc>
        <w:tc>
          <w:tcPr>
            <w:tcW w:w="6838" w:type="dxa"/>
            <w:vAlign w:val="top"/>
            <w:textDirection w:val="lrTb"/>
            <w:noWrap w:val="false"/>
          </w:tcPr>
          <w:p>
            <w:pPr>
              <w:pStyle w:val="910"/>
              <w:jc w:val="both"/>
            </w:pPr>
            <w:r>
              <w:t xml:space="preserve">Остальные и более подробные условия </w:t>
            </w:r>
            <w:r>
              <w:t xml:space="preserve">проведения закупки</w:t>
            </w:r>
            <w:r>
              <w:t xml:space="preserve"> содержатся в документации</w:t>
            </w:r>
            <w:r>
              <w:t xml:space="preserve"> о закупке.</w:t>
            </w:r>
            <w:r/>
          </w:p>
        </w:tc>
      </w:tr>
    </w:tbl>
    <w:p>
      <w:pPr>
        <w:pStyle w:val="910"/>
        <w:ind w:firstLine="709"/>
        <w:jc w:val="center"/>
        <w:tabs>
          <w:tab w:val="left" w:pos="851" w:leader="none"/>
          <w:tab w:val="left" w:pos="1134" w:leader="none"/>
        </w:tabs>
        <w:rPr>
          <w:b/>
          <w:sz w:val="16"/>
          <w:szCs w:val="16"/>
        </w:rPr>
      </w:pPr>
      <w:r>
        <w:rPr>
          <w:b/>
          <w:sz w:val="16"/>
          <w:szCs w:val="16"/>
        </w:rPr>
      </w:r>
      <w:r>
        <w:rPr>
          <w:b/>
          <w:sz w:val="16"/>
          <w:szCs w:val="16"/>
        </w:rPr>
      </w:r>
      <w:r>
        <w:rPr>
          <w:b/>
          <w:sz w:val="16"/>
          <w:szCs w:val="16"/>
        </w:rPr>
      </w:r>
    </w:p>
    <w:p>
      <w:pPr>
        <w:ind w:firstLine="709"/>
        <w:jc w:val="center"/>
        <w:tabs>
          <w:tab w:val="left" w:pos="851" w:leader="none"/>
          <w:tab w:val="left" w:pos="1134" w:leader="none"/>
        </w:tabs>
        <w:rPr>
          <w:b/>
          <w:bCs/>
          <w:sz w:val="16"/>
          <w:szCs w:val="16"/>
        </w:rPr>
      </w:pPr>
      <w:r>
        <w:rPr>
          <w:b/>
          <w:sz w:val="16"/>
          <w:szCs w:val="16"/>
        </w:rPr>
      </w:r>
      <w:r>
        <w:rPr>
          <w:b/>
          <w:bCs/>
          <w:sz w:val="16"/>
          <w:szCs w:val="16"/>
        </w:rPr>
      </w:r>
      <w:r>
        <w:rPr>
          <w:b/>
          <w:bCs/>
          <w:sz w:val="16"/>
          <w:szCs w:val="16"/>
        </w:rPr>
      </w:r>
    </w:p>
    <w:p>
      <w:pPr>
        <w:pStyle w:val="910"/>
        <w:ind w:firstLine="709"/>
        <w:jc w:val="center"/>
        <w:tabs>
          <w:tab w:val="left" w:pos="851" w:leader="none"/>
          <w:tab w:val="left" w:pos="1134" w:leader="none"/>
        </w:tabs>
        <w:rPr>
          <w:b/>
          <w:bCs/>
          <w:sz w:val="16"/>
          <w:szCs w:val="16"/>
        </w:rPr>
      </w:pPr>
      <w:r>
        <w:rPr>
          <w:b/>
          <w:sz w:val="16"/>
          <w:szCs w:val="16"/>
        </w:rPr>
      </w:r>
      <w:r>
        <w:rPr>
          <w:b/>
          <w:bCs/>
          <w:sz w:val="16"/>
          <w:szCs w:val="16"/>
        </w:rPr>
      </w:r>
      <w:r>
        <w:rPr>
          <w:b/>
          <w:bCs/>
          <w:sz w:val="16"/>
          <w:szCs w:val="16"/>
        </w:rPr>
      </w:r>
    </w:p>
    <w:p>
      <w:pPr>
        <w:pStyle w:val="910"/>
        <w:ind w:firstLine="709"/>
        <w:jc w:val="center"/>
        <w:tabs>
          <w:tab w:val="left" w:pos="851" w:leader="none"/>
          <w:tab w:val="left" w:pos="1134" w:leader="none"/>
        </w:tabs>
        <w:rPr>
          <w:b/>
          <w:sz w:val="16"/>
          <w:szCs w:val="16"/>
        </w:rPr>
      </w:pPr>
      <w:r>
        <w:rPr>
          <w:b/>
          <w:sz w:val="16"/>
          <w:szCs w:val="16"/>
        </w:rPr>
      </w:r>
      <w:r>
        <w:rPr>
          <w:b/>
          <w:sz w:val="16"/>
          <w:szCs w:val="16"/>
        </w:rPr>
      </w:r>
      <w:r>
        <w:rPr>
          <w:b/>
          <w:sz w:val="16"/>
          <w:szCs w:val="16"/>
        </w:rPr>
      </w:r>
    </w:p>
    <w:p>
      <w:pPr>
        <w:pStyle w:val="910"/>
        <w:ind w:firstLine="709"/>
        <w:jc w:val="center"/>
        <w:tabs>
          <w:tab w:val="left" w:pos="851" w:leader="none"/>
          <w:tab w:val="left" w:pos="1134" w:leader="none"/>
        </w:tabs>
        <w:rPr>
          <w:b/>
          <w:sz w:val="16"/>
          <w:szCs w:val="16"/>
        </w:rPr>
      </w:pPr>
      <w:r>
        <w:rPr>
          <w:b/>
          <w:sz w:val="16"/>
          <w:szCs w:val="16"/>
        </w:rPr>
      </w:r>
      <w:r>
        <w:rPr>
          <w:b/>
          <w:sz w:val="16"/>
          <w:szCs w:val="16"/>
        </w:rPr>
      </w:r>
      <w:r>
        <w:rPr>
          <w:b/>
          <w:sz w:val="16"/>
          <w:szCs w:val="16"/>
        </w:rPr>
      </w:r>
    </w:p>
    <w:p>
      <w:r/>
      <w:r/>
    </w:p>
    <w:sectPr>
      <w:footerReference w:type="default" r:id="rId9"/>
      <w:footerReference w:type="even" r:id="rId10"/>
      <w:footnotePr/>
      <w:endnotePr/>
      <w:type w:val="nextPage"/>
      <w:pgSz w:w="11906" w:h="16838" w:orient="portrait"/>
      <w:pgMar w:top="709" w:right="850" w:bottom="567" w:left="1276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</w:font>
  <w:font w:name="Symbol">
    <w:panose1 w:val="05010000000000000000"/>
  </w:font>
  <w:font w:name="Tahoma">
    <w:panose1 w:val="020B0604030504040204"/>
  </w:font>
  <w:font w:name="Verdana">
    <w:panose1 w:val="020B0604030504040204"/>
  </w:font>
  <w:font w:name="Times New Roman">
    <w:panose1 w:val="02020603050405020304"/>
  </w:font>
  <w:font w:name="Calibri">
    <w:panose1 w:val="020F0502020204030204"/>
  </w:font>
  <w:font w:name="Arial">
    <w:panose1 w:val="020B0604020202020204"/>
  </w:font>
  <w:font w:name="Wingdings">
    <w:panose1 w:val="05010000000000000000"/>
  </w:font>
  <w:font w:name="Liberation Sans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24"/>
      <w:rPr>
        <w:rStyle w:val="925"/>
      </w:rPr>
      <w:framePr w:h="678" w:wrap="around" w:vAnchor="text" w:hAnchor="margin" w:xAlign="right" w:y="309" w:hRule="exact"/>
    </w:pPr>
    <w:r>
      <w:rPr>
        <w:rStyle w:val="925"/>
      </w:rPr>
      <w:fldChar w:fldCharType="begin"/>
    </w:r>
    <w:r>
      <w:rPr>
        <w:rStyle w:val="925"/>
      </w:rPr>
      <w:instrText xml:space="preserve">PAGE  </w:instrText>
    </w:r>
    <w:r>
      <w:rPr>
        <w:rStyle w:val="925"/>
      </w:rPr>
      <w:fldChar w:fldCharType="separate"/>
    </w:r>
    <w:r>
      <w:rPr>
        <w:rStyle w:val="925"/>
      </w:rPr>
      <w:t xml:space="preserve">4</w:t>
    </w:r>
    <w:r>
      <w:rPr>
        <w:rStyle w:val="925"/>
      </w:rPr>
      <w:fldChar w:fldCharType="end"/>
    </w:r>
    <w:r>
      <w:rPr>
        <w:rStyle w:val="925"/>
      </w:rPr>
    </w:r>
    <w:r>
      <w:rPr>
        <w:rStyle w:val="925"/>
      </w:rPr>
    </w:r>
  </w:p>
  <w:p>
    <w:pPr>
      <w:pStyle w:val="924"/>
      <w:ind w:right="360"/>
      <w:rPr>
        <w:sz w:val="16"/>
        <w:szCs w:val="16"/>
      </w:rPr>
    </w:pPr>
    <w:r>
      <w:rPr>
        <w:sz w:val="16"/>
        <w:szCs w:val="16"/>
      </w:rPr>
    </w:r>
    <w:r>
      <w:rPr>
        <w:sz w:val="16"/>
        <w:szCs w:val="16"/>
      </w:rPr>
    </w:r>
    <w:r>
      <w:rPr>
        <w:sz w:val="16"/>
        <w:szCs w:val="16"/>
      </w:rPr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24"/>
      <w:rPr>
        <w:rStyle w:val="925"/>
      </w:rPr>
      <w:framePr w:wrap="around" w:vAnchor="text" w:hAnchor="margin" w:xAlign="right" w:y="1"/>
    </w:pPr>
    <w:r>
      <w:rPr>
        <w:rStyle w:val="925"/>
      </w:rPr>
      <w:fldChar w:fldCharType="begin"/>
    </w:r>
    <w:r>
      <w:rPr>
        <w:rStyle w:val="925"/>
      </w:rPr>
      <w:instrText xml:space="preserve">PAGE  </w:instrText>
    </w:r>
    <w:r>
      <w:rPr>
        <w:rStyle w:val="925"/>
      </w:rPr>
      <w:fldChar w:fldCharType="end"/>
    </w:r>
    <w:r>
      <w:rPr>
        <w:rStyle w:val="925"/>
      </w:rPr>
    </w:r>
    <w:r>
      <w:rPr>
        <w:rStyle w:val="925"/>
      </w:rPr>
    </w:r>
  </w:p>
  <w:p>
    <w:pPr>
      <w:pStyle w:val="924"/>
      <w:ind w:right="360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360" w:hanging="360"/>
        <w:tabs>
          <w:tab w:val="num" w:pos="360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27" w:hanging="360"/>
        <w:tabs>
          <w:tab w:val="num" w:pos="927" w:leader="none"/>
        </w:tabs>
      </w:pPr>
      <w:rPr>
        <w:rFonts w:ascii="Symbol" w:hAnsi="Symbol"/>
        <w:b w:val="0"/>
        <w:i w:val="0"/>
      </w:rPr>
    </w:lvl>
    <w:lvl w:ilvl="1">
      <w:start w:val="1"/>
      <w:numFmt w:val="bullet"/>
      <w:isLgl w:val="false"/>
      <w:suff w:val="tab"/>
      <w:lvlText w:val=""/>
      <w:lvlJc w:val="left"/>
      <w:pPr>
        <w:ind w:left="1440" w:hanging="360"/>
        <w:tabs>
          <w:tab w:val="num" w:pos="1440" w:leader="none"/>
        </w:tabs>
      </w:pPr>
      <w:rPr>
        <w:rFonts w:ascii="Symbol" w:hAnsi="Symbol"/>
        <w:i w:val="0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27" w:hanging="360"/>
        <w:tabs>
          <w:tab w:val="num" w:pos="927" w:leader="none"/>
        </w:tabs>
      </w:pPr>
      <w:rPr>
        <w:rFonts w:ascii="Symbol" w:hAnsi="Symbol"/>
        <w:b w:val="0"/>
        <w:i w:val="0"/>
      </w:rPr>
    </w:lvl>
    <w:lvl w:ilvl="1">
      <w:start w:val="1"/>
      <w:numFmt w:val="bullet"/>
      <w:isLgl w:val="false"/>
      <w:suff w:val="tab"/>
      <w:lvlText w:val=""/>
      <w:lvlJc w:val="left"/>
      <w:pPr>
        <w:ind w:left="1440" w:hanging="360"/>
        <w:tabs>
          <w:tab w:val="num" w:pos="1440" w:leader="none"/>
        </w:tabs>
      </w:pPr>
      <w:rPr>
        <w:rFonts w:ascii="Symbol" w:hAnsi="Symbol"/>
        <w:i w:val="0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3">
    <w:multiLevelType w:val="hybridMultilevel"/>
    <w:lvl w:ilvl="0">
      <w:start w:val="7"/>
      <w:numFmt w:val="decimal"/>
      <w:isLgl w:val="false"/>
      <w:suff w:val="tab"/>
      <w:lvlText w:val="%1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"/>
      <w:lvlJc w:val="left"/>
      <w:pPr>
        <w:ind w:left="1920" w:hanging="360"/>
      </w:pPr>
    </w:lvl>
    <w:lvl w:ilvl="2">
      <w:start w:val="1"/>
      <w:numFmt w:val="decimal"/>
      <w:isLgl w:val="false"/>
      <w:suff w:val="tab"/>
      <w:lvlText w:val="%1.%2.%3"/>
      <w:lvlJc w:val="left"/>
      <w:pPr>
        <w:ind w:left="4014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5661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7668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9675" w:hanging="144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1322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3329" w:hanging="180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4976" w:hanging="1800"/>
      </w:pPr>
    </w:lvl>
  </w:abstractNum>
  <w:abstractNum w:abstractNumId="4">
    <w:multiLevelType w:val="hybridMultilevel"/>
    <w:lvl w:ilvl="0">
      <w:start w:val="6"/>
      <w:numFmt w:val="decimal"/>
      <w:isLgl w:val="false"/>
      <w:suff w:val="tab"/>
      <w:lvlText w:val="%1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"/>
      <w:lvlJc w:val="left"/>
      <w:pPr>
        <w:ind w:left="1920" w:hanging="360"/>
      </w:pPr>
    </w:lvl>
    <w:lvl w:ilvl="2">
      <w:start w:val="1"/>
      <w:numFmt w:val="decimal"/>
      <w:isLgl w:val="false"/>
      <w:suff w:val="tab"/>
      <w:lvlText w:val="%1.%2.%3"/>
      <w:lvlJc w:val="left"/>
      <w:pPr>
        <w:ind w:left="3840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5400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7320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9240" w:hanging="144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0800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2720" w:hanging="180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4280" w:hanging="180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0" w:firstLine="567"/>
        <w:tabs>
          <w:tab w:val="num" w:pos="1134" w:leader="none"/>
        </w:tabs>
      </w:pPr>
      <w:rPr>
        <w:b w:val="0"/>
        <w:i w:val="0"/>
        <w:color w:val="000000"/>
        <w:sz w:val="24"/>
        <w:szCs w:val="24"/>
      </w:rPr>
    </w:lvl>
    <w:lvl w:ilvl="1">
      <w:start w:val="1"/>
      <w:numFmt w:val="bullet"/>
      <w:isLgl w:val="false"/>
      <w:suff w:val="tab"/>
      <w:lvlText w:val=""/>
      <w:lvlJc w:val="left"/>
      <w:pPr>
        <w:ind w:left="1440" w:hanging="360"/>
        <w:tabs>
          <w:tab w:val="num" w:pos="1440" w:leader="none"/>
        </w:tabs>
      </w:pPr>
      <w:rPr>
        <w:rFonts w:ascii="Symbol" w:hAnsi="Symbol"/>
        <w:i w:val="0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6">
    <w:multiLevelType w:val="hybridMultilevel"/>
    <w:lvl w:ilvl="0">
      <w:start w:val="7"/>
      <w:numFmt w:val="decimal"/>
      <w:isLgl w:val="false"/>
      <w:suff w:val="tab"/>
      <w:lvlText w:val="%1."/>
      <w:lvlJc w:val="left"/>
      <w:pPr>
        <w:ind w:left="450" w:hanging="450"/>
      </w:pPr>
    </w:lvl>
    <w:lvl w:ilvl="1">
      <w:start w:val="1"/>
      <w:numFmt w:val="decimal"/>
      <w:isLgl w:val="false"/>
      <w:suff w:val="tab"/>
      <w:lvlText w:val="%1.%2."/>
      <w:lvlJc w:val="left"/>
      <w:pPr>
        <w:ind w:left="1020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32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980" w:hanging="1080"/>
      </w:pPr>
    </w:lvl>
    <w:lvl w:ilvl="4">
      <w:start w:val="1"/>
      <w:numFmt w:val="thaiNumbers"/>
      <w:isLgl w:val="false"/>
      <w:suff w:val="tab"/>
      <w:lvlText w:val="%5)"/>
      <w:lvlJc w:val="left"/>
      <w:pPr>
        <w:ind w:left="2280" w:hanging="1080"/>
      </w:pPr>
      <w:rPr>
        <w:rFonts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94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600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0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560" w:hanging="2160"/>
      </w:pPr>
    </w:lvl>
  </w:abstractNum>
  <w:abstractNum w:abstractNumId="7">
    <w:multiLevelType w:val="hybridMultilevel"/>
    <w:lvl w:ilvl="0">
      <w:start w:val="7"/>
      <w:numFmt w:val="decimal"/>
      <w:isLgl w:val="false"/>
      <w:suff w:val="tab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1920" w:hanging="36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384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5400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732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8880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080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2360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4280" w:hanging="1800"/>
      </w:p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firstLine="567"/>
        <w:tabs>
          <w:tab w:val="num" w:pos="1134" w:leader="none"/>
        </w:tabs>
      </w:pPr>
      <w:rPr>
        <w:rFonts w:cs="Times New Roman"/>
      </w:rPr>
    </w:lvl>
    <w:lvl w:ilvl="1">
      <w:start w:val="1"/>
      <w:numFmt w:val="decimal"/>
      <w:isLgl w:val="false"/>
      <w:suff w:val="tab"/>
      <w:lvlText w:val="%1.%2."/>
      <w:lvlJc w:val="left"/>
      <w:pPr>
        <w:ind w:left="2126" w:hanging="708"/>
        <w:tabs>
          <w:tab w:val="num" w:pos="708" w:leader="none"/>
        </w:tabs>
      </w:pPr>
      <w:rPr>
        <w:rFonts w:cs="Times New Roman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835" w:hanging="708"/>
        <w:tabs>
          <w:tab w:val="num" w:pos="2835" w:leader="none"/>
        </w:tabs>
      </w:pPr>
      <w:rPr>
        <w:rFonts w:cs="Times New Roman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540" w:hanging="708"/>
        <w:tabs>
          <w:tab w:val="num" w:pos="708" w:leader="none"/>
        </w:tabs>
      </w:pPr>
      <w:rPr>
        <w:rFonts w:cs="Times New Roman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248" w:hanging="708"/>
        <w:tabs>
          <w:tab w:val="num" w:pos="708" w:leader="none"/>
        </w:tabs>
      </w:pPr>
      <w:rPr>
        <w:rFonts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956" w:hanging="708"/>
        <w:tabs>
          <w:tab w:val="num" w:pos="708" w:leader="none"/>
        </w:tabs>
      </w:pPr>
      <w:rPr>
        <w:rFonts w:cs="Times New Roman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664" w:hanging="708"/>
        <w:tabs>
          <w:tab w:val="num" w:pos="708" w:leader="none"/>
        </w:tabs>
      </w:pPr>
      <w:rPr>
        <w:rFonts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372" w:hanging="708"/>
        <w:tabs>
          <w:tab w:val="num" w:pos="708" w:leader="none"/>
        </w:tabs>
      </w:pPr>
      <w:rPr>
        <w:rFonts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080" w:hanging="708"/>
        <w:tabs>
          <w:tab w:val="num" w:pos="708" w:leader="none"/>
        </w:tabs>
      </w:pPr>
      <w:rPr>
        <w:rFonts w:cs="Times New Roman"/>
      </w:r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27" w:hanging="360"/>
        <w:tabs>
          <w:tab w:val="num" w:pos="927" w:leader="none"/>
        </w:tabs>
      </w:pPr>
      <w:rPr>
        <w:rFonts w:ascii="Symbol" w:hAnsi="Symbol"/>
        <w:b w:val="0"/>
        <w:i w:val="0"/>
      </w:rPr>
    </w:lvl>
    <w:lvl w:ilvl="1">
      <w:start w:val="1"/>
      <w:numFmt w:val="bullet"/>
      <w:isLgl w:val="false"/>
      <w:suff w:val="tab"/>
      <w:lvlText w:val=""/>
      <w:lvlJc w:val="left"/>
      <w:pPr>
        <w:ind w:left="1440" w:hanging="360"/>
        <w:tabs>
          <w:tab w:val="num" w:pos="1440" w:leader="none"/>
        </w:tabs>
      </w:pPr>
      <w:rPr>
        <w:rFonts w:ascii="Symbol" w:hAnsi="Symbol"/>
        <w:i w:val="0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10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450" w:hanging="450"/>
      </w:pPr>
    </w:lvl>
    <w:lvl w:ilvl="1">
      <w:start w:val="1"/>
      <w:numFmt w:val="decimal"/>
      <w:isLgl w:val="false"/>
      <w:suff w:val="tab"/>
      <w:lvlText w:val="%1.%2."/>
      <w:lvlJc w:val="left"/>
      <w:pPr>
        <w:ind w:left="3556" w:hanging="720"/>
      </w:pPr>
      <w:rPr>
        <w:b/>
      </w:rPr>
    </w:lvl>
    <w:lvl w:ilvl="2">
      <w:start w:val="1"/>
      <w:numFmt w:val="decimal"/>
      <w:isLgl w:val="false"/>
      <w:suff w:val="tab"/>
      <w:lvlText w:val="%1.%2.%3."/>
      <w:lvlJc w:val="left"/>
      <w:pPr>
        <w:ind w:left="4832" w:hanging="720"/>
      </w:pPr>
      <w:rPr>
        <w:i w:val="0"/>
        <w:sz w:val="28"/>
        <w:szCs w:val="28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483" w:hanging="1080"/>
      </w:pPr>
      <w:rPr>
        <w:i w:val="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672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849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0260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167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3440" w:hanging="2160"/>
      </w:pPr>
    </w:lvl>
  </w:abstractNum>
  <w:abstractNum w:abstractNumId="11">
    <w:multiLevelType w:val="hybridMultilevel"/>
    <w:lvl w:ilvl="0">
      <w:start w:val="1"/>
      <w:numFmt w:val="decimal"/>
      <w:pStyle w:val="911"/>
      <w:isLgl w:val="false"/>
      <w:suff w:val="tab"/>
      <w:lvlText w:val="%1."/>
      <w:lvlJc w:val="left"/>
      <w:pPr>
        <w:ind w:left="1134" w:hanging="1134"/>
        <w:tabs>
          <w:tab w:val="num" w:pos="1134" w:leader="none"/>
        </w:tabs>
      </w:pPr>
    </w:lvl>
    <w:lvl w:ilvl="1">
      <w:start w:val="1"/>
      <w:numFmt w:val="decimal"/>
      <w:pStyle w:val="912"/>
      <w:isLgl w:val="false"/>
      <w:suff w:val="tab"/>
      <w:lvlText w:val="%1.%2"/>
      <w:lvlJc w:val="left"/>
      <w:pPr>
        <w:ind w:left="1134" w:hanging="1134"/>
        <w:tabs>
          <w:tab w:val="num" w:pos="1134" w:leader="none"/>
        </w:tabs>
      </w:pPr>
    </w:lvl>
    <w:lvl w:ilvl="2">
      <w:start w:val="1"/>
      <w:numFmt w:val="decimal"/>
      <w:pStyle w:val="920"/>
      <w:isLgl w:val="false"/>
      <w:suff w:val="tab"/>
      <w:lvlText w:val="%1.%2.%3"/>
      <w:lvlJc w:val="left"/>
      <w:pPr>
        <w:ind w:left="1134" w:hanging="1134"/>
        <w:tabs>
          <w:tab w:val="num" w:pos="1134" w:leader="none"/>
        </w:tabs>
      </w:pPr>
      <w:rPr>
        <w:b w:val="0"/>
        <w:i w:val="0"/>
      </w:rPr>
    </w:lvl>
    <w:lvl w:ilvl="3">
      <w:start w:val="1"/>
      <w:numFmt w:val="decimal"/>
      <w:pStyle w:val="921"/>
      <w:isLgl w:val="false"/>
      <w:suff w:val="tab"/>
      <w:lvlText w:val="%1.%2.%3.%4"/>
      <w:lvlJc w:val="left"/>
      <w:pPr>
        <w:ind w:left="1134" w:hanging="1134"/>
        <w:tabs>
          <w:tab w:val="num" w:pos="1134" w:leader="none"/>
        </w:tabs>
      </w:pPr>
      <w:rPr>
        <w:b w:val="0"/>
        <w:i w:val="0"/>
      </w:rPr>
    </w:lvl>
    <w:lvl w:ilvl="4">
      <w:start w:val="1"/>
      <w:numFmt w:val="lowerLetter"/>
      <w:pStyle w:val="922"/>
      <w:isLgl w:val="false"/>
      <w:suff w:val="tab"/>
      <w:lvlText w:val="%5)"/>
      <w:lvlJc w:val="left"/>
      <w:pPr>
        <w:ind w:left="1701" w:hanging="567"/>
        <w:tabs>
          <w:tab w:val="num" w:pos="1701" w:leader="none"/>
        </w:tabs>
      </w:pPr>
      <w:rPr>
        <w:b w:val="0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96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468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540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6120" w:leader="none"/>
        </w:tabs>
      </w:p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9.%1."/>
      <w:lvlJc w:val="left"/>
      <w:pPr>
        <w:ind w:left="2007" w:hanging="360"/>
        <w:tabs>
          <w:tab w:val="num" w:pos="0" w:leader="none"/>
        </w:tabs>
      </w:pPr>
      <w:rPr>
        <w:rFonts w:ascii="Times New Roman" w:hAnsi="Times New Roman" w:cs="Times New Roman"/>
        <w:b w:val="0"/>
        <w:i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27" w:hanging="360"/>
        <w:tabs>
          <w:tab w:val="num" w:pos="927" w:leader="none"/>
        </w:tabs>
      </w:pPr>
      <w:rPr>
        <w:rFonts w:ascii="Symbol" w:hAnsi="Symbol"/>
        <w:b w:val="0"/>
        <w:i w:val="0"/>
      </w:rPr>
    </w:lvl>
    <w:lvl w:ilvl="1">
      <w:start w:val="1"/>
      <w:numFmt w:val="bullet"/>
      <w:isLgl w:val="false"/>
      <w:suff w:val="tab"/>
      <w:lvlText w:val=""/>
      <w:lvlJc w:val="left"/>
      <w:pPr>
        <w:ind w:left="1440" w:hanging="360"/>
        <w:tabs>
          <w:tab w:val="num" w:pos="1440" w:leader="none"/>
        </w:tabs>
      </w:pPr>
      <w:rPr>
        <w:rFonts w:ascii="Symbol" w:hAnsi="Symbol"/>
        <w:i w:val="0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14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885" w:hanging="885"/>
      </w:pPr>
    </w:lvl>
    <w:lvl w:ilvl="1">
      <w:start w:val="1"/>
      <w:numFmt w:val="decimal"/>
      <w:isLgl w:val="false"/>
      <w:suff w:val="tab"/>
      <w:lvlText w:val="%1.%2."/>
      <w:lvlJc w:val="left"/>
      <w:pPr>
        <w:ind w:left="1005" w:hanging="885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125" w:hanging="885"/>
      </w:pPr>
    </w:lvl>
    <w:lvl w:ilvl="3">
      <w:start w:val="1"/>
      <w:numFmt w:val="thaiNumbers"/>
      <w:isLgl w:val="false"/>
      <w:suff w:val="tab"/>
      <w:lvlText w:val="%4)"/>
      <w:lvlJc w:val="left"/>
      <w:pPr>
        <w:ind w:left="2215" w:hanging="1080"/>
      </w:pPr>
      <w:rPr>
        <w:rFonts w:cs="Times New Roman"/>
      </w:rPr>
    </w:lvl>
    <w:lvl w:ilvl="4">
      <w:start w:val="1"/>
      <w:numFmt w:val="thaiNumbers"/>
      <w:isLgl w:val="false"/>
      <w:suff w:val="tab"/>
      <w:lvlText w:val="%5)"/>
      <w:lvlJc w:val="left"/>
      <w:pPr>
        <w:ind w:left="1560" w:hanging="1080"/>
      </w:pPr>
      <w:rPr>
        <w:rFonts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04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2520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64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3120" w:hanging="2160"/>
      </w:p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360" w:hanging="360"/>
        <w:tabs>
          <w:tab w:val="num" w:pos="360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500" w:hanging="360"/>
        <w:tabs>
          <w:tab w:val="num" w:pos="1500" w:leader="none"/>
        </w:tabs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220" w:hanging="360"/>
        <w:tabs>
          <w:tab w:val="num" w:pos="2220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940" w:hanging="360"/>
        <w:tabs>
          <w:tab w:val="num" w:pos="2940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60" w:hanging="360"/>
        <w:tabs>
          <w:tab w:val="num" w:pos="3660" w:leader="none"/>
        </w:tabs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80" w:hanging="360"/>
        <w:tabs>
          <w:tab w:val="num" w:pos="4380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100" w:hanging="360"/>
        <w:tabs>
          <w:tab w:val="num" w:pos="5100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820" w:hanging="360"/>
        <w:tabs>
          <w:tab w:val="num" w:pos="5820" w:leader="none"/>
        </w:tabs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540" w:hanging="360"/>
        <w:tabs>
          <w:tab w:val="num" w:pos="6540" w:leader="none"/>
        </w:tabs>
      </w:pPr>
      <w:rPr>
        <w:rFonts w:ascii="Wingdings" w:hAnsi="Wingdings"/>
      </w:rPr>
    </w:lvl>
  </w:abstractNum>
  <w:abstractNum w:abstractNumId="16">
    <w:multiLevelType w:val="hybridMultilevel"/>
    <w:lvl w:ilvl="0">
      <w:start w:val="1"/>
      <w:numFmt w:val="decimal"/>
      <w:pStyle w:val="947"/>
      <w:isLgl w:val="false"/>
      <w:suff w:val="tab"/>
      <w:lvlText w:val="%1."/>
      <w:lvlJc w:val="center"/>
      <w:pPr>
        <w:tabs>
          <w:tab w:val="num" w:pos="2977" w:leader="none"/>
        </w:tabs>
      </w:pPr>
      <w:rPr>
        <w:rFonts w:cs="Times New Roman"/>
        <w:bCs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pStyle w:val="949"/>
      <w:isLgl w:val="false"/>
      <w:suff w:val="tab"/>
      <w:lvlText w:val="%1.%2"/>
      <w:lvlJc w:val="left"/>
      <w:pPr>
        <w:ind w:firstLine="567"/>
        <w:tabs>
          <w:tab w:val="num" w:pos="4680" w:leader="none"/>
        </w:tabs>
      </w:pPr>
      <w:rPr>
        <w:rFonts w:cs="Times New Roman"/>
        <w:bCs/>
        <w:iCs w:val="0"/>
        <w: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948"/>
      <w:isLgl w:val="false"/>
      <w:suff w:val="tab"/>
      <w:lvlText w:val="%1.%2.%3"/>
      <w:lvlJc w:val="left"/>
      <w:pPr>
        <w:ind w:firstLine="567"/>
        <w:tabs>
          <w:tab w:val="num" w:pos="4399" w:leader="none"/>
        </w:tabs>
      </w:pPr>
      <w:rPr>
        <w:rFonts w:cs="Times New Roman"/>
        <w:b w:val="0"/>
        <w:bCs w:val="0"/>
        <w:i w:val="0"/>
        <w:iCs w:val="0"/>
        <w:color w:val="000000"/>
      </w:rPr>
    </w:lvl>
    <w:lvl w:ilvl="3">
      <w:start w:val="1"/>
      <w:numFmt w:val="decimal"/>
      <w:isLgl w:val="false"/>
      <w:suff w:val="tab"/>
      <w:lvlText w:val="%1.%2.%3.%4"/>
      <w:lvlJc w:val="left"/>
      <w:pPr>
        <w:ind w:firstLine="567"/>
        <w:tabs>
          <w:tab w:val="num" w:pos="1985" w:leader="none"/>
        </w:tabs>
      </w:pPr>
      <w:rPr>
        <w:rFonts w:cs="Times New Roman"/>
        <w:b w:val="0"/>
        <w:bCs w:val="0"/>
        <w:i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4">
      <w:start w:val="1"/>
      <w:numFmt w:val="thaiNumbers"/>
      <w:pStyle w:val="950"/>
      <w:isLgl w:val="false"/>
      <w:suff w:val="tab"/>
      <w:lvlText w:val="%5)"/>
      <w:lvlJc w:val="left"/>
      <w:pPr>
        <w:ind w:firstLine="567"/>
        <w:tabs>
          <w:tab w:val="num" w:pos="1703" w:leader="none"/>
        </w:tabs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isLgl w:val="false"/>
      <w:suff w:val="tab"/>
      <w:lvlText w:val="%6)"/>
      <w:lvlJc w:val="left"/>
      <w:pPr>
        <w:ind w:left="2551" w:hanging="567"/>
        <w:tabs>
          <w:tab w:val="num" w:pos="2551" w:leader="none"/>
        </w:tabs>
      </w:pPr>
      <w:rPr>
        <w:rFonts w:cs="Times New Roman"/>
      </w:rPr>
    </w:lvl>
    <w:lvl w:ilvl="6">
      <w:start w:val="1"/>
      <w:numFmt w:val="lowerRoman"/>
      <w:isLgl w:val="false"/>
      <w:suff w:val="tab"/>
      <w:lvlText w:val="%7)"/>
      <w:lvlJc w:val="left"/>
      <w:pPr>
        <w:ind w:left="2268" w:hanging="567"/>
        <w:tabs>
          <w:tab w:val="num" w:pos="2268" w:leader="none"/>
        </w:tabs>
      </w:pPr>
      <w:rPr>
        <w:rFonts w:cs="Times New Roman"/>
      </w:rPr>
    </w:lvl>
    <w:lvl w:ilvl="7">
      <w:start w:val="1"/>
      <w:numFmt w:val="decimal"/>
      <w:isLgl w:val="false"/>
      <w:suff w:val="tab"/>
      <w:lvlText w:val="%5.%6.%7.%8)"/>
      <w:lvlJc w:val="left"/>
      <w:pPr>
        <w:ind w:left="1448" w:hanging="567"/>
        <w:tabs>
          <w:tab w:val="num" w:pos="1448" w:leader="none"/>
        </w:tabs>
      </w:pPr>
      <w:rPr>
        <w:rFonts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366" w:hanging="1440"/>
        <w:tabs>
          <w:tab w:val="num" w:pos="4166" w:leader="none"/>
        </w:tabs>
      </w:pPr>
      <w:rPr>
        <w:rFonts w:cs="Times New Roman"/>
      </w:rPr>
    </w:lvl>
  </w:abstractNum>
  <w:num w:numId="1">
    <w:abstractNumId w:val="11"/>
  </w:num>
  <w:num w:numId="2">
    <w:abstractNumId w:val="5"/>
  </w:num>
  <w:num w:numId="3">
    <w:abstractNumId w:val="12"/>
  </w:num>
  <w:num w:numId="4">
    <w:abstractNumId w:val="15"/>
  </w:num>
  <w:num w:numId="5">
    <w:abstractNumId w:val="1"/>
  </w:num>
  <w:num w:numId="6">
    <w:abstractNumId w:val="2"/>
  </w:num>
  <w:num w:numId="7">
    <w:abstractNumId w:val="13"/>
  </w:num>
  <w:num w:numId="8">
    <w:abstractNumId w:val="9"/>
  </w:num>
  <w:num w:numId="9">
    <w:abstractNumId w:val="3"/>
  </w:num>
  <w:num w:numId="10">
    <w:abstractNumId w:val="0"/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  <w:num w:numId="13">
    <w:abstractNumId w:val="7"/>
  </w:num>
  <w:num w:numId="14">
    <w:abstractNumId w:val="5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</w:num>
  <w:num w:numId="16">
    <w:abstractNumId w:val="16"/>
  </w:num>
  <w:num w:numId="17">
    <w:abstractNumId w:val="10"/>
  </w:num>
  <w:num w:numId="18">
    <w:abstractNumId w:val="6"/>
  </w:num>
  <w:num w:numId="19">
    <w:abstractNumId w:val="11"/>
  </w:num>
  <w:num w:numId="2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32">
    <w:name w:val="Heading 1"/>
    <w:basedOn w:val="910"/>
    <w:next w:val="910"/>
    <w:link w:val="733"/>
    <w:uiPriority w:val="9"/>
    <w:qFormat/>
    <w:pPr>
      <w:keepLines/>
      <w:keepNext/>
      <w:spacing w:before="480" w:after="200"/>
      <w:outlineLvl w:val="0"/>
    </w:pPr>
    <w:rPr>
      <w:rFonts w:ascii="Liberation Sans" w:hAnsi="Liberation Sans" w:eastAsia="Liberation Sans" w:cs="Liberation Sans"/>
      <w:sz w:val="40"/>
      <w:szCs w:val="40"/>
    </w:rPr>
  </w:style>
  <w:style w:type="character" w:styleId="733">
    <w:name w:val="Heading 1 Char"/>
    <w:link w:val="732"/>
    <w:uiPriority w:val="9"/>
    <w:rPr>
      <w:rFonts w:ascii="Liberation Sans" w:hAnsi="Liberation Sans" w:eastAsia="Liberation Sans" w:cs="Liberation Sans"/>
      <w:sz w:val="40"/>
      <w:szCs w:val="40"/>
    </w:rPr>
  </w:style>
  <w:style w:type="paragraph" w:styleId="734">
    <w:name w:val="Heading 2"/>
    <w:basedOn w:val="910"/>
    <w:next w:val="910"/>
    <w:link w:val="735"/>
    <w:uiPriority w:val="9"/>
    <w:unhideWhenUsed/>
    <w:qFormat/>
    <w:pPr>
      <w:keepLines/>
      <w:keepNext/>
      <w:spacing w:before="360" w:after="200"/>
      <w:outlineLvl w:val="1"/>
    </w:pPr>
    <w:rPr>
      <w:rFonts w:ascii="Liberation Sans" w:hAnsi="Liberation Sans" w:eastAsia="Liberation Sans" w:cs="Liberation Sans"/>
      <w:sz w:val="34"/>
    </w:rPr>
  </w:style>
  <w:style w:type="character" w:styleId="735">
    <w:name w:val="Heading 2 Char"/>
    <w:link w:val="734"/>
    <w:uiPriority w:val="9"/>
    <w:rPr>
      <w:rFonts w:ascii="Liberation Sans" w:hAnsi="Liberation Sans" w:eastAsia="Liberation Sans" w:cs="Liberation Sans"/>
      <w:sz w:val="34"/>
    </w:rPr>
  </w:style>
  <w:style w:type="paragraph" w:styleId="736">
    <w:name w:val="Heading 3"/>
    <w:basedOn w:val="910"/>
    <w:next w:val="910"/>
    <w:link w:val="737"/>
    <w:uiPriority w:val="9"/>
    <w:unhideWhenUsed/>
    <w:qFormat/>
    <w:pPr>
      <w:keepLines/>
      <w:keepNext/>
      <w:spacing w:before="320" w:after="200"/>
      <w:outlineLvl w:val="2"/>
    </w:pPr>
    <w:rPr>
      <w:rFonts w:ascii="Liberation Sans" w:hAnsi="Liberation Sans" w:eastAsia="Liberation Sans" w:cs="Liberation Sans"/>
      <w:sz w:val="30"/>
      <w:szCs w:val="30"/>
    </w:rPr>
  </w:style>
  <w:style w:type="character" w:styleId="737">
    <w:name w:val="Heading 3 Char"/>
    <w:link w:val="736"/>
    <w:uiPriority w:val="9"/>
    <w:rPr>
      <w:rFonts w:ascii="Liberation Sans" w:hAnsi="Liberation Sans" w:eastAsia="Liberation Sans" w:cs="Liberation Sans"/>
      <w:sz w:val="30"/>
      <w:szCs w:val="30"/>
    </w:rPr>
  </w:style>
  <w:style w:type="paragraph" w:styleId="738">
    <w:name w:val="Heading 4"/>
    <w:basedOn w:val="910"/>
    <w:next w:val="910"/>
    <w:link w:val="739"/>
    <w:uiPriority w:val="9"/>
    <w:unhideWhenUsed/>
    <w:qFormat/>
    <w:pPr>
      <w:keepLines/>
      <w:keepNext/>
      <w:spacing w:before="320" w:after="200"/>
      <w:outlineLvl w:val="3"/>
    </w:pPr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739">
    <w:name w:val="Heading 4 Char"/>
    <w:link w:val="738"/>
    <w:uiPriority w:val="9"/>
    <w:rPr>
      <w:rFonts w:ascii="Liberation Sans" w:hAnsi="Liberation Sans" w:eastAsia="Liberation Sans" w:cs="Liberation Sans"/>
      <w:b/>
      <w:bCs/>
      <w:sz w:val="26"/>
      <w:szCs w:val="26"/>
    </w:rPr>
  </w:style>
  <w:style w:type="paragraph" w:styleId="740">
    <w:name w:val="Heading 5"/>
    <w:basedOn w:val="910"/>
    <w:next w:val="910"/>
    <w:link w:val="741"/>
    <w:uiPriority w:val="9"/>
    <w:unhideWhenUsed/>
    <w:qFormat/>
    <w:pPr>
      <w:keepLines/>
      <w:keepNext/>
      <w:spacing w:before="320" w:after="200"/>
      <w:outlineLvl w:val="4"/>
    </w:pPr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741">
    <w:name w:val="Heading 5 Char"/>
    <w:link w:val="740"/>
    <w:uiPriority w:val="9"/>
    <w:rPr>
      <w:rFonts w:ascii="Liberation Sans" w:hAnsi="Liberation Sans" w:eastAsia="Liberation Sans" w:cs="Liberation Sans"/>
      <w:b/>
      <w:bCs/>
      <w:sz w:val="24"/>
      <w:szCs w:val="24"/>
    </w:rPr>
  </w:style>
  <w:style w:type="paragraph" w:styleId="742">
    <w:name w:val="Heading 6"/>
    <w:basedOn w:val="910"/>
    <w:next w:val="910"/>
    <w:link w:val="743"/>
    <w:uiPriority w:val="9"/>
    <w:unhideWhenUsed/>
    <w:qFormat/>
    <w:pPr>
      <w:keepLines/>
      <w:keepNext/>
      <w:spacing w:before="320" w:after="200"/>
      <w:outlineLvl w:val="5"/>
    </w:pPr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743">
    <w:name w:val="Heading 6 Char"/>
    <w:link w:val="742"/>
    <w:uiPriority w:val="9"/>
    <w:rPr>
      <w:rFonts w:ascii="Liberation Sans" w:hAnsi="Liberation Sans" w:eastAsia="Liberation Sans" w:cs="Liberation Sans"/>
      <w:b/>
      <w:bCs/>
      <w:sz w:val="22"/>
      <w:szCs w:val="22"/>
    </w:rPr>
  </w:style>
  <w:style w:type="paragraph" w:styleId="744">
    <w:name w:val="Heading 7"/>
    <w:basedOn w:val="910"/>
    <w:next w:val="910"/>
    <w:link w:val="745"/>
    <w:uiPriority w:val="9"/>
    <w:unhideWhenUsed/>
    <w:qFormat/>
    <w:pPr>
      <w:keepLines/>
      <w:keepNext/>
      <w:spacing w:before="320" w:after="200"/>
      <w:outlineLvl w:val="6"/>
    </w:pPr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745">
    <w:name w:val="Heading 7 Char"/>
    <w:link w:val="744"/>
    <w:uiPriority w:val="9"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paragraph" w:styleId="746">
    <w:name w:val="Heading 8"/>
    <w:basedOn w:val="910"/>
    <w:next w:val="910"/>
    <w:link w:val="747"/>
    <w:uiPriority w:val="9"/>
    <w:unhideWhenUsed/>
    <w:qFormat/>
    <w:pPr>
      <w:keepLines/>
      <w:keepNext/>
      <w:spacing w:before="320" w:after="200"/>
      <w:outlineLvl w:val="7"/>
    </w:pPr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747">
    <w:name w:val="Heading 8 Char"/>
    <w:link w:val="746"/>
    <w:uiPriority w:val="9"/>
    <w:rPr>
      <w:rFonts w:ascii="Liberation Sans" w:hAnsi="Liberation Sans" w:eastAsia="Liberation Sans" w:cs="Liberation Sans"/>
      <w:i/>
      <w:iCs/>
      <w:sz w:val="22"/>
      <w:szCs w:val="22"/>
    </w:rPr>
  </w:style>
  <w:style w:type="paragraph" w:styleId="748">
    <w:name w:val="Heading 9"/>
    <w:basedOn w:val="910"/>
    <w:next w:val="910"/>
    <w:link w:val="749"/>
    <w:uiPriority w:val="9"/>
    <w:unhideWhenUsed/>
    <w:qFormat/>
    <w:pPr>
      <w:keepLines/>
      <w:keepNext/>
      <w:spacing w:before="320" w:after="200"/>
      <w:outlineLvl w:val="8"/>
    </w:pPr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749">
    <w:name w:val="Heading 9 Char"/>
    <w:link w:val="748"/>
    <w:uiPriority w:val="9"/>
    <w:rPr>
      <w:rFonts w:ascii="Liberation Sans" w:hAnsi="Liberation Sans" w:eastAsia="Liberation Sans" w:cs="Liberation Sans"/>
      <w:i/>
      <w:iCs/>
      <w:sz w:val="21"/>
      <w:szCs w:val="21"/>
    </w:rPr>
  </w:style>
  <w:style w:type="paragraph" w:styleId="750">
    <w:name w:val="List Paragraph"/>
    <w:basedOn w:val="910"/>
    <w:uiPriority w:val="34"/>
    <w:qFormat/>
    <w:pPr>
      <w:contextualSpacing/>
      <w:ind w:left="720"/>
    </w:pPr>
  </w:style>
  <w:style w:type="paragraph" w:styleId="751">
    <w:name w:val="No Spacing"/>
    <w:uiPriority w:val="1"/>
    <w:qFormat/>
    <w:pPr>
      <w:spacing w:before="0" w:after="0" w:line="240" w:lineRule="auto"/>
    </w:pPr>
  </w:style>
  <w:style w:type="paragraph" w:styleId="752">
    <w:name w:val="Title"/>
    <w:basedOn w:val="910"/>
    <w:next w:val="910"/>
    <w:link w:val="753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53">
    <w:name w:val="Title Char"/>
    <w:link w:val="752"/>
    <w:uiPriority w:val="10"/>
    <w:rPr>
      <w:sz w:val="48"/>
      <w:szCs w:val="48"/>
    </w:rPr>
  </w:style>
  <w:style w:type="paragraph" w:styleId="754">
    <w:name w:val="Subtitle"/>
    <w:basedOn w:val="910"/>
    <w:next w:val="910"/>
    <w:link w:val="755"/>
    <w:uiPriority w:val="11"/>
    <w:qFormat/>
    <w:pPr>
      <w:spacing w:before="200" w:after="200"/>
    </w:pPr>
    <w:rPr>
      <w:sz w:val="24"/>
      <w:szCs w:val="24"/>
    </w:rPr>
  </w:style>
  <w:style w:type="character" w:styleId="755">
    <w:name w:val="Subtitle Char"/>
    <w:link w:val="754"/>
    <w:uiPriority w:val="11"/>
    <w:rPr>
      <w:sz w:val="24"/>
      <w:szCs w:val="24"/>
    </w:rPr>
  </w:style>
  <w:style w:type="paragraph" w:styleId="756">
    <w:name w:val="Quote"/>
    <w:basedOn w:val="910"/>
    <w:next w:val="910"/>
    <w:link w:val="757"/>
    <w:uiPriority w:val="29"/>
    <w:qFormat/>
    <w:pPr>
      <w:ind w:left="720" w:right="720"/>
    </w:pPr>
    <w:rPr>
      <w:i/>
    </w:rPr>
  </w:style>
  <w:style w:type="character" w:styleId="757">
    <w:name w:val="Quote Char"/>
    <w:link w:val="756"/>
    <w:uiPriority w:val="29"/>
    <w:rPr>
      <w:i/>
    </w:rPr>
  </w:style>
  <w:style w:type="paragraph" w:styleId="758">
    <w:name w:val="Intense Quote"/>
    <w:basedOn w:val="910"/>
    <w:next w:val="910"/>
    <w:link w:val="759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59">
    <w:name w:val="Intense Quote Char"/>
    <w:link w:val="758"/>
    <w:uiPriority w:val="30"/>
    <w:rPr>
      <w:i/>
    </w:rPr>
  </w:style>
  <w:style w:type="paragraph" w:styleId="760">
    <w:name w:val="Header"/>
    <w:basedOn w:val="910"/>
    <w:link w:val="761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61">
    <w:name w:val="Header Char"/>
    <w:link w:val="760"/>
    <w:uiPriority w:val="99"/>
  </w:style>
  <w:style w:type="paragraph" w:styleId="762">
    <w:name w:val="Footer"/>
    <w:basedOn w:val="910"/>
    <w:link w:val="76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63">
    <w:name w:val="Footer Char"/>
    <w:link w:val="762"/>
    <w:uiPriority w:val="99"/>
  </w:style>
  <w:style w:type="paragraph" w:styleId="764">
    <w:name w:val="Caption"/>
    <w:basedOn w:val="910"/>
    <w:next w:val="910"/>
    <w:link w:val="765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65">
    <w:name w:val="Caption Char"/>
    <w:link w:val="764"/>
    <w:uiPriority w:val="35"/>
    <w:rPr>
      <w:b/>
      <w:bCs/>
      <w:color w:val="4f81bd" w:themeColor="accent1"/>
      <w:sz w:val="18"/>
      <w:szCs w:val="18"/>
    </w:rPr>
  </w:style>
  <w:style w:type="table" w:styleId="766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67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68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769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770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71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73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2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3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4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95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96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7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98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99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00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01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02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03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04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05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06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07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808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Liberation Sans" w:hAnsi="Liberation Sans"/>
        <w:color w:val="404040" w:themeColor="text1" w:themeTint="80" w:themeShade="95"/>
        <w:sz w:val="22"/>
      </w:rPr>
    </w:tblStylePr>
  </w:style>
  <w:style w:type="table" w:styleId="809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Liberation Sans" w:hAnsi="Liberation Sans"/>
        <w:color w:val="404040" w:themeColor="accent1" w:themeTint="80" w:themeShade="95"/>
        <w:sz w:val="22"/>
      </w:rPr>
    </w:tblStylePr>
  </w:style>
  <w:style w:type="table" w:styleId="810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Liberation Sans" w:hAnsi="Liberation Sans"/>
        <w:color w:val="404040" w:themeColor="accent2" w:themeTint="97" w:themeShade="95"/>
        <w:sz w:val="22"/>
      </w:rPr>
    </w:tblStylePr>
  </w:style>
  <w:style w:type="table" w:styleId="811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Liberation Sans" w:hAnsi="Liberation Sans"/>
        <w:color w:val="404040" w:themeColor="accent3" w:themeTint="FE" w:themeShade="95"/>
        <w:sz w:val="22"/>
      </w:rPr>
    </w:tblStylePr>
  </w:style>
  <w:style w:type="table" w:styleId="812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Liberation Sans" w:hAnsi="Liberation Sans"/>
        <w:color w:val="404040" w:themeColor="accent4" w:themeTint="9A" w:themeShade="95"/>
        <w:sz w:val="22"/>
      </w:rPr>
    </w:tblStylePr>
  </w:style>
  <w:style w:type="table" w:styleId="813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814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815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6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3e70a3" w:themeColor="accent1" w:themeTint="80" w:themeShade="95"/>
        <w:sz w:val="22"/>
      </w:rPr>
    </w:tblStylePr>
    <w:tblStylePr w:type="firstCol">
      <w:rPr>
        <w:rFonts w:ascii="Liberation Sans" w:hAnsi="Liberation Sans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7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8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5c702f" w:themeColor="accent3" w:themeTint="FE" w:themeShade="95"/>
        <w:sz w:val="22"/>
      </w:rPr>
    </w:tblStylePr>
    <w:tblStylePr w:type="firstCol">
      <w:rPr>
        <w:rFonts w:ascii="Liberation Sans" w:hAnsi="Liberation Sans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9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0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7" w:themeColor="accent5" w:themeShade="95"/>
        <w:sz w:val="22"/>
      </w:rPr>
    </w:tblStylePr>
    <w:tblStylePr w:type="firstCol">
      <w:rPr>
        <w:rFonts w:ascii="Liberation Sans" w:hAnsi="Liberation Sans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1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05307" w:themeColor="accent6" w:themeShade="95"/>
        <w:sz w:val="22"/>
      </w:rPr>
    </w:tblStylePr>
    <w:tblStylePr w:type="firstCol">
      <w:rPr>
        <w:rFonts w:ascii="Liberation Sans" w:hAnsi="Liberation Sans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2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3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4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5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6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7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8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9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30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31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32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33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34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35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36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7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8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9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0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1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2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3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4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5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6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7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8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9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0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51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52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53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54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55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56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57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58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Liberation Sans" w:hAnsi="Liberation Sans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59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60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61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62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63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64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4a4a4a" w:themeColor="text1" w:themeTint="80" w:themeShade="95"/>
        <w:sz w:val="22"/>
      </w:rPr>
    </w:tblStylePr>
  </w:style>
  <w:style w:type="table" w:styleId="865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2a4b71" w:themeColor="accent1" w:themeShade="95"/>
        <w:sz w:val="22"/>
      </w:rPr>
    </w:tblStylePr>
    <w:tblStylePr w:type="firstCol">
      <w:rPr>
        <w:rFonts w:ascii="Liberation Sans" w:hAnsi="Liberation Sans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2a4b71" w:themeColor="accent1" w:themeShade="95"/>
        <w:sz w:val="22"/>
      </w:rPr>
    </w:tblStylePr>
  </w:style>
  <w:style w:type="table" w:styleId="866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9c3a37" w:themeColor="accent2" w:themeTint="97" w:themeShade="95"/>
        <w:sz w:val="22"/>
      </w:rPr>
    </w:tblStylePr>
  </w:style>
  <w:style w:type="table" w:styleId="867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7c983f" w:themeColor="accent3" w:themeTint="98" w:themeShade="95"/>
        <w:sz w:val="22"/>
      </w:rPr>
    </w:tblStylePr>
    <w:tblStylePr w:type="firstCol">
      <w:rPr>
        <w:rFonts w:ascii="Liberation Sans" w:hAnsi="Liberation Sans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7c983f" w:themeColor="accent3" w:themeTint="98" w:themeShade="95"/>
        <w:sz w:val="22"/>
      </w:rPr>
    </w:tblStylePr>
  </w:style>
  <w:style w:type="table" w:styleId="868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664f82" w:themeColor="accent4" w:themeTint="9A" w:themeShade="95"/>
        <w:sz w:val="22"/>
      </w:rPr>
    </w:tblStylePr>
  </w:style>
  <w:style w:type="table" w:styleId="869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338aa0" w:themeColor="accent5" w:themeTint="9A" w:themeShade="95"/>
        <w:sz w:val="22"/>
      </w:rPr>
    </w:tblStylePr>
    <w:tblStylePr w:type="firstCol">
      <w:rPr>
        <w:rFonts w:ascii="Liberation Sans" w:hAnsi="Liberation Sans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338aa0" w:themeColor="accent5" w:themeTint="9A" w:themeShade="95"/>
        <w:sz w:val="22"/>
      </w:rPr>
    </w:tblStylePr>
  </w:style>
  <w:style w:type="table" w:styleId="870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d9680c" w:themeColor="accent6" w:themeTint="98" w:themeShade="95"/>
        <w:sz w:val="22"/>
      </w:rPr>
    </w:tblStylePr>
    <w:tblStylePr w:type="firstCol">
      <w:rPr>
        <w:rFonts w:ascii="Liberation Sans" w:hAnsi="Liberation Sans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d9680c" w:themeColor="accent6" w:themeTint="98" w:themeShade="95"/>
        <w:sz w:val="22"/>
      </w:rPr>
    </w:tblStylePr>
  </w:style>
  <w:style w:type="table" w:styleId="871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72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73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74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75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76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77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78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79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80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81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82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83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84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85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86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87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88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89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90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91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92">
    <w:name w:val="Hyperlink"/>
    <w:uiPriority w:val="99"/>
    <w:unhideWhenUsed/>
    <w:rPr>
      <w:color w:val="0000ff" w:themeColor="hyperlink"/>
      <w:u w:val="single"/>
    </w:rPr>
  </w:style>
  <w:style w:type="paragraph" w:styleId="893">
    <w:name w:val="footnote text"/>
    <w:basedOn w:val="910"/>
    <w:link w:val="894"/>
    <w:uiPriority w:val="99"/>
    <w:semiHidden/>
    <w:unhideWhenUsed/>
    <w:pPr>
      <w:spacing w:after="40" w:line="240" w:lineRule="auto"/>
    </w:pPr>
    <w:rPr>
      <w:sz w:val="18"/>
    </w:rPr>
  </w:style>
  <w:style w:type="character" w:styleId="894">
    <w:name w:val="Footnote Text Char"/>
    <w:link w:val="893"/>
    <w:uiPriority w:val="99"/>
    <w:rPr>
      <w:sz w:val="18"/>
    </w:rPr>
  </w:style>
  <w:style w:type="character" w:styleId="895">
    <w:name w:val="footnote reference"/>
    <w:uiPriority w:val="99"/>
    <w:unhideWhenUsed/>
    <w:rPr>
      <w:vertAlign w:val="superscript"/>
    </w:rPr>
  </w:style>
  <w:style w:type="paragraph" w:styleId="896">
    <w:name w:val="endnote text"/>
    <w:basedOn w:val="910"/>
    <w:link w:val="897"/>
    <w:uiPriority w:val="99"/>
    <w:semiHidden/>
    <w:unhideWhenUsed/>
    <w:pPr>
      <w:spacing w:after="0" w:line="240" w:lineRule="auto"/>
    </w:pPr>
    <w:rPr>
      <w:sz w:val="20"/>
    </w:rPr>
  </w:style>
  <w:style w:type="character" w:styleId="897">
    <w:name w:val="Endnote Text Char"/>
    <w:link w:val="896"/>
    <w:uiPriority w:val="99"/>
    <w:rPr>
      <w:sz w:val="20"/>
    </w:rPr>
  </w:style>
  <w:style w:type="character" w:styleId="898">
    <w:name w:val="endnote reference"/>
    <w:uiPriority w:val="99"/>
    <w:semiHidden/>
    <w:unhideWhenUsed/>
    <w:rPr>
      <w:vertAlign w:val="superscript"/>
    </w:rPr>
  </w:style>
  <w:style w:type="paragraph" w:styleId="899">
    <w:name w:val="toc 1"/>
    <w:basedOn w:val="910"/>
    <w:next w:val="910"/>
    <w:uiPriority w:val="39"/>
    <w:unhideWhenUsed/>
    <w:pPr>
      <w:ind w:left="0" w:right="0" w:firstLine="0"/>
      <w:spacing w:after="57"/>
    </w:pPr>
  </w:style>
  <w:style w:type="paragraph" w:styleId="900">
    <w:name w:val="toc 2"/>
    <w:basedOn w:val="910"/>
    <w:next w:val="910"/>
    <w:uiPriority w:val="39"/>
    <w:unhideWhenUsed/>
    <w:pPr>
      <w:ind w:left="283" w:right="0" w:firstLine="0"/>
      <w:spacing w:after="57"/>
    </w:pPr>
  </w:style>
  <w:style w:type="paragraph" w:styleId="901">
    <w:name w:val="toc 3"/>
    <w:basedOn w:val="910"/>
    <w:next w:val="910"/>
    <w:uiPriority w:val="39"/>
    <w:unhideWhenUsed/>
    <w:pPr>
      <w:ind w:left="567" w:right="0" w:firstLine="0"/>
      <w:spacing w:after="57"/>
    </w:pPr>
  </w:style>
  <w:style w:type="paragraph" w:styleId="902">
    <w:name w:val="toc 4"/>
    <w:basedOn w:val="910"/>
    <w:next w:val="910"/>
    <w:uiPriority w:val="39"/>
    <w:unhideWhenUsed/>
    <w:pPr>
      <w:ind w:left="850" w:right="0" w:firstLine="0"/>
      <w:spacing w:after="57"/>
    </w:pPr>
  </w:style>
  <w:style w:type="paragraph" w:styleId="903">
    <w:name w:val="toc 5"/>
    <w:basedOn w:val="910"/>
    <w:next w:val="910"/>
    <w:uiPriority w:val="39"/>
    <w:unhideWhenUsed/>
    <w:pPr>
      <w:ind w:left="1134" w:right="0" w:firstLine="0"/>
      <w:spacing w:after="57"/>
    </w:pPr>
  </w:style>
  <w:style w:type="paragraph" w:styleId="904">
    <w:name w:val="toc 6"/>
    <w:basedOn w:val="910"/>
    <w:next w:val="910"/>
    <w:uiPriority w:val="39"/>
    <w:unhideWhenUsed/>
    <w:pPr>
      <w:ind w:left="1417" w:right="0" w:firstLine="0"/>
      <w:spacing w:after="57"/>
    </w:pPr>
  </w:style>
  <w:style w:type="paragraph" w:styleId="905">
    <w:name w:val="toc 7"/>
    <w:basedOn w:val="910"/>
    <w:next w:val="910"/>
    <w:uiPriority w:val="39"/>
    <w:unhideWhenUsed/>
    <w:pPr>
      <w:ind w:left="1701" w:right="0" w:firstLine="0"/>
      <w:spacing w:after="57"/>
    </w:pPr>
  </w:style>
  <w:style w:type="paragraph" w:styleId="906">
    <w:name w:val="toc 8"/>
    <w:basedOn w:val="910"/>
    <w:next w:val="910"/>
    <w:uiPriority w:val="39"/>
    <w:unhideWhenUsed/>
    <w:pPr>
      <w:ind w:left="1984" w:right="0" w:firstLine="0"/>
      <w:spacing w:after="57"/>
    </w:pPr>
  </w:style>
  <w:style w:type="paragraph" w:styleId="907">
    <w:name w:val="toc 9"/>
    <w:basedOn w:val="910"/>
    <w:next w:val="910"/>
    <w:uiPriority w:val="39"/>
    <w:unhideWhenUsed/>
    <w:pPr>
      <w:ind w:left="2268" w:right="0" w:firstLine="0"/>
      <w:spacing w:after="57"/>
    </w:pPr>
  </w:style>
  <w:style w:type="paragraph" w:styleId="908">
    <w:name w:val="TOC Heading"/>
    <w:uiPriority w:val="39"/>
    <w:unhideWhenUsed/>
  </w:style>
  <w:style w:type="paragraph" w:styleId="909">
    <w:name w:val="table of figures"/>
    <w:basedOn w:val="910"/>
    <w:next w:val="910"/>
    <w:uiPriority w:val="99"/>
    <w:unhideWhenUsed/>
    <w:pPr>
      <w:spacing w:after="0" w:afterAutospacing="0"/>
    </w:pPr>
  </w:style>
  <w:style w:type="paragraph" w:styleId="910" w:default="1">
    <w:name w:val="Normal"/>
    <w:next w:val="910"/>
    <w:link w:val="910"/>
    <w:qFormat/>
    <w:rPr>
      <w:sz w:val="24"/>
      <w:szCs w:val="24"/>
      <w:lang w:val="ru-RU" w:eastAsia="ru-RU" w:bidi="ar-SA"/>
    </w:rPr>
  </w:style>
  <w:style w:type="paragraph" w:styleId="911">
    <w:name w:val="Заголовок 1,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"/>
    <w:basedOn w:val="910"/>
    <w:next w:val="910"/>
    <w:link w:val="910"/>
    <w:qFormat/>
    <w:pPr>
      <w:numPr>
        <w:ilvl w:val="0"/>
        <w:numId w:val="1"/>
      </w:numPr>
      <w:keepLines/>
      <w:keepNext/>
      <w:pageBreakBefore/>
      <w:spacing w:before="480" w:after="240"/>
      <w:outlineLvl w:val="0"/>
    </w:pPr>
    <w:rPr>
      <w:rFonts w:ascii="Arial" w:hAnsi="Arial"/>
      <w:b/>
      <w:sz w:val="40"/>
      <w:szCs w:val="20"/>
    </w:rPr>
  </w:style>
  <w:style w:type="paragraph" w:styleId="912">
    <w:name w:val="Заголовок 2,Заголовок 2 Знак,H2,H2 Знак,Заголовок 21,2,h2,Б2,RTC,iz2,Numbered text 3,HD2,heading 2,Heading 2 Hidden,Раздел Знак"/>
    <w:basedOn w:val="910"/>
    <w:next w:val="910"/>
    <w:link w:val="910"/>
    <w:qFormat/>
    <w:pPr>
      <w:numPr>
        <w:ilvl w:val="1"/>
        <w:numId w:val="1"/>
      </w:numPr>
      <w:keepNext/>
      <w:spacing w:before="360" w:after="120"/>
      <w:outlineLvl w:val="1"/>
    </w:pPr>
    <w:rPr>
      <w:b/>
      <w:sz w:val="32"/>
      <w:szCs w:val="20"/>
    </w:rPr>
  </w:style>
  <w:style w:type="paragraph" w:styleId="913">
    <w:name w:val="Заголовок 3"/>
    <w:basedOn w:val="910"/>
    <w:next w:val="910"/>
    <w:link w:val="910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914">
    <w:name w:val="Заголовок 7"/>
    <w:basedOn w:val="910"/>
    <w:next w:val="910"/>
    <w:link w:val="952"/>
    <w:semiHidden/>
    <w:unhideWhenUsed/>
    <w:qFormat/>
    <w:pPr>
      <w:spacing w:before="240" w:after="60"/>
      <w:outlineLvl w:val="6"/>
    </w:pPr>
    <w:rPr>
      <w:rFonts w:ascii="Calibri" w:hAnsi="Calibri" w:eastAsia="Times New Roman" w:cs="Times New Roman"/>
    </w:rPr>
  </w:style>
  <w:style w:type="character" w:styleId="915">
    <w:name w:val="Основной шрифт абзаца, Знак2"/>
    <w:next w:val="915"/>
    <w:link w:val="910"/>
    <w:semiHidden/>
  </w:style>
  <w:style w:type="table" w:styleId="916">
    <w:name w:val="Обычная таблица"/>
    <w:next w:val="916"/>
    <w:link w:val="910"/>
    <w:semiHidden/>
    <w:tblPr/>
  </w:style>
  <w:style w:type="numbering" w:styleId="917">
    <w:name w:val="Нет списка"/>
    <w:next w:val="917"/>
    <w:link w:val="910"/>
    <w:semiHidden/>
  </w:style>
  <w:style w:type="character" w:styleId="918">
    <w:name w:val="Гиперссылка"/>
    <w:next w:val="918"/>
    <w:link w:val="910"/>
    <w:rPr>
      <w:color w:val="336699"/>
      <w:u w:val="none"/>
    </w:rPr>
  </w:style>
  <w:style w:type="character" w:styleId="919">
    <w:name w:val="Просмотренная гиперссылка"/>
    <w:next w:val="919"/>
    <w:link w:val="910"/>
    <w:rPr>
      <w:color w:val="800080"/>
      <w:u w:val="single"/>
    </w:rPr>
  </w:style>
  <w:style w:type="paragraph" w:styleId="920">
    <w:name w:val="Пункт"/>
    <w:basedOn w:val="910"/>
    <w:next w:val="920"/>
    <w:link w:val="910"/>
    <w:pPr>
      <w:numPr>
        <w:ilvl w:val="2"/>
        <w:numId w:val="1"/>
      </w:numPr>
      <w:jc w:val="both"/>
      <w:spacing w:line="360" w:lineRule="auto"/>
    </w:pPr>
    <w:rPr>
      <w:sz w:val="28"/>
      <w:szCs w:val="20"/>
    </w:rPr>
  </w:style>
  <w:style w:type="paragraph" w:styleId="921">
    <w:name w:val="Подпункт"/>
    <w:basedOn w:val="920"/>
    <w:next w:val="921"/>
    <w:link w:val="954"/>
    <w:pPr>
      <w:numPr>
        <w:ilvl w:val="3"/>
        <w:numId w:val="1"/>
      </w:numPr>
    </w:pPr>
  </w:style>
  <w:style w:type="paragraph" w:styleId="922">
    <w:name w:val="Подподпункт"/>
    <w:basedOn w:val="921"/>
    <w:next w:val="922"/>
    <w:link w:val="910"/>
    <w:pPr>
      <w:numPr>
        <w:ilvl w:val="4"/>
        <w:numId w:val="1"/>
      </w:numPr>
    </w:pPr>
  </w:style>
  <w:style w:type="character" w:styleId="923">
    <w:name w:val="Основной текст Знак"/>
    <w:next w:val="923"/>
    <w:link w:val="910"/>
    <w:rPr>
      <w:sz w:val="28"/>
      <w:szCs w:val="28"/>
      <w:lang w:val="ru-RU" w:eastAsia="ru-RU"/>
    </w:rPr>
  </w:style>
  <w:style w:type="paragraph" w:styleId="924">
    <w:name w:val="Нижний колонтитул"/>
    <w:basedOn w:val="910"/>
    <w:next w:val="924"/>
    <w:link w:val="910"/>
    <w:pPr>
      <w:tabs>
        <w:tab w:val="center" w:pos="4677" w:leader="none"/>
        <w:tab w:val="right" w:pos="9355" w:leader="none"/>
      </w:tabs>
    </w:pPr>
  </w:style>
  <w:style w:type="character" w:styleId="925">
    <w:name w:val="Номер страницы"/>
    <w:basedOn w:val="915"/>
    <w:next w:val="925"/>
    <w:link w:val="910"/>
  </w:style>
  <w:style w:type="paragraph" w:styleId="926">
    <w:name w:val="3"/>
    <w:basedOn w:val="910"/>
    <w:next w:val="926"/>
    <w:link w:val="91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27">
    <w:name w:val=" Знак"/>
    <w:basedOn w:val="910"/>
    <w:next w:val="927"/>
    <w:link w:val="91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28">
    <w:name w:val=" Знак1"/>
    <w:basedOn w:val="910"/>
    <w:next w:val="928"/>
    <w:link w:val="91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29">
    <w:name w:val=" Знак Знак Знак Знак Знак"/>
    <w:basedOn w:val="910"/>
    <w:next w:val="929"/>
    <w:link w:val="91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30">
    <w:name w:val=" Знак Знак Знак1 Знак Знак"/>
    <w:basedOn w:val="910"/>
    <w:next w:val="930"/>
    <w:link w:val="91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31">
    <w:name w:val=" Знак Знак Знак Знак Знак Знак"/>
    <w:basedOn w:val="910"/>
    <w:next w:val="931"/>
    <w:link w:val="91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32">
    <w:name w:val="Нумерованный список"/>
    <w:basedOn w:val="910"/>
    <w:next w:val="932"/>
    <w:link w:val="910"/>
    <w:pPr>
      <w:jc w:val="both"/>
      <w:spacing w:before="60" w:line="360" w:lineRule="auto"/>
    </w:pPr>
    <w:rPr>
      <w:sz w:val="28"/>
    </w:rPr>
  </w:style>
  <w:style w:type="paragraph" w:styleId="933">
    <w:name w:val="Верхний колонтитул"/>
    <w:basedOn w:val="910"/>
    <w:next w:val="933"/>
    <w:link w:val="910"/>
    <w:pPr>
      <w:tabs>
        <w:tab w:val="center" w:pos="4677" w:leader="none"/>
        <w:tab w:val="right" w:pos="9355" w:leader="none"/>
      </w:tabs>
    </w:pPr>
  </w:style>
  <w:style w:type="paragraph" w:styleId="934">
    <w:name w:val="Стиль1 Знак"/>
    <w:basedOn w:val="921"/>
    <w:next w:val="934"/>
    <w:link w:val="935"/>
    <w:pPr>
      <w:numPr>
        <w:ilvl w:val="0"/>
        <w:numId w:val="0"/>
      </w:numPr>
      <w:spacing w:line="240" w:lineRule="auto"/>
    </w:pPr>
    <w:rPr>
      <w:szCs w:val="28"/>
    </w:rPr>
  </w:style>
  <w:style w:type="character" w:styleId="935">
    <w:name w:val="Стиль1 Знак Знак"/>
    <w:next w:val="935"/>
    <w:link w:val="934"/>
    <w:rPr>
      <w:sz w:val="28"/>
      <w:szCs w:val="28"/>
      <w:lang w:val="ru-RU" w:eastAsia="ru-RU" w:bidi="ar-SA"/>
    </w:rPr>
  </w:style>
  <w:style w:type="paragraph" w:styleId="936">
    <w:name w:val="Стиль1"/>
    <w:basedOn w:val="921"/>
    <w:next w:val="936"/>
    <w:link w:val="910"/>
    <w:pPr>
      <w:numPr>
        <w:ilvl w:val="0"/>
        <w:numId w:val="0"/>
      </w:numPr>
      <w:spacing w:line="240" w:lineRule="auto"/>
    </w:pPr>
    <w:rPr>
      <w:szCs w:val="28"/>
    </w:rPr>
  </w:style>
  <w:style w:type="character" w:styleId="937">
    <w:name w:val="заменить"/>
    <w:next w:val="937"/>
    <w:link w:val="910"/>
    <w:rPr>
      <w:i/>
      <w:u w:val="none"/>
      <w:shd w:val="clear" w:color="auto" w:fill="ffcc99"/>
    </w:rPr>
  </w:style>
  <w:style w:type="paragraph" w:styleId="938">
    <w:name w:val="Служебный"/>
    <w:basedOn w:val="910"/>
    <w:next w:val="938"/>
    <w:link w:val="910"/>
    <w:semiHidden/>
    <w:pPr>
      <w:pageBreakBefore/>
      <w:spacing w:before="480" w:after="240"/>
      <w:tabs>
        <w:tab w:val="left" w:pos="851" w:leader="none"/>
      </w:tabs>
      <w:outlineLvl w:val="0"/>
    </w:pPr>
    <w:rPr>
      <w:rFonts w:ascii="Arial" w:hAnsi="Arial" w:cs="Arial"/>
      <w:b/>
      <w:bCs/>
      <w:sz w:val="36"/>
      <w:szCs w:val="36"/>
    </w:rPr>
  </w:style>
  <w:style w:type="paragraph" w:styleId="939">
    <w:name w:val="ConsPlusNormal"/>
    <w:next w:val="939"/>
    <w:link w:val="910"/>
    <w:pPr>
      <w:ind w:firstLine="720"/>
      <w:widowControl w:val="off"/>
    </w:pPr>
    <w:rPr>
      <w:rFonts w:ascii="Arial" w:hAnsi="Arial" w:cs="Arial"/>
      <w:lang w:val="ru-RU" w:eastAsia="ru-RU" w:bidi="ar-SA"/>
    </w:rPr>
  </w:style>
  <w:style w:type="paragraph" w:styleId="940">
    <w:name w:val="Схема документа"/>
    <w:basedOn w:val="910"/>
    <w:next w:val="940"/>
    <w:link w:val="910"/>
    <w:semiHidden/>
    <w:pPr>
      <w:shd w:val="clear" w:color="auto" w:fill="000080"/>
    </w:pPr>
    <w:rPr>
      <w:rFonts w:ascii="Tahoma" w:hAnsi="Tahoma" w:cs="Tahoma"/>
    </w:rPr>
  </w:style>
  <w:style w:type="paragraph" w:styleId="941">
    <w:name w:val="Обычный (веб)"/>
    <w:basedOn w:val="910"/>
    <w:next w:val="941"/>
    <w:link w:val="910"/>
    <w:pPr>
      <w:spacing w:before="100" w:beforeAutospacing="1" w:after="100" w:afterAutospacing="1"/>
    </w:pPr>
  </w:style>
  <w:style w:type="character" w:styleId="942">
    <w:name w:val="Выделение"/>
    <w:next w:val="942"/>
    <w:link w:val="910"/>
    <w:qFormat/>
    <w:rPr>
      <w:i/>
      <w:iCs/>
    </w:rPr>
  </w:style>
  <w:style w:type="paragraph" w:styleId="943">
    <w:name w:val="Текст выноски"/>
    <w:basedOn w:val="910"/>
    <w:next w:val="943"/>
    <w:link w:val="910"/>
    <w:semiHidden/>
    <w:rPr>
      <w:rFonts w:ascii="Tahoma" w:hAnsi="Tahoma" w:cs="Tahoma"/>
      <w:sz w:val="16"/>
      <w:szCs w:val="16"/>
    </w:rPr>
  </w:style>
  <w:style w:type="paragraph" w:styleId="944">
    <w:name w:val="1 Знак"/>
    <w:basedOn w:val="910"/>
    <w:next w:val="944"/>
    <w:link w:val="91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45">
    <w:name w:val="Знак"/>
    <w:basedOn w:val="910"/>
    <w:next w:val="945"/>
    <w:link w:val="915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46">
    <w:name w:val="1"/>
    <w:basedOn w:val="910"/>
    <w:next w:val="946"/>
    <w:link w:val="910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47">
    <w:name w:val="Заголовок_1"/>
    <w:basedOn w:val="910"/>
    <w:next w:val="947"/>
    <w:link w:val="910"/>
    <w:uiPriority w:val="99"/>
    <w:pPr>
      <w:numPr>
        <w:ilvl w:val="0"/>
        <w:numId w:val="16"/>
      </w:numPr>
      <w:jc w:val="center"/>
      <w:keepLines/>
      <w:keepNext/>
      <w:spacing w:before="360" w:after="120"/>
      <w:outlineLvl w:val="0"/>
    </w:pPr>
    <w:rPr>
      <w:rFonts w:ascii="Arial" w:hAnsi="Arial" w:cs="Arial"/>
      <w:b/>
      <w:bCs/>
      <w:caps/>
      <w:sz w:val="36"/>
      <w:szCs w:val="28"/>
    </w:rPr>
  </w:style>
  <w:style w:type="paragraph" w:styleId="948">
    <w:name w:val="Пункт_3"/>
    <w:basedOn w:val="910"/>
    <w:next w:val="948"/>
    <w:link w:val="910"/>
    <w:uiPriority w:val="99"/>
    <w:pPr>
      <w:numPr>
        <w:ilvl w:val="2"/>
        <w:numId w:val="16"/>
      </w:numPr>
      <w:jc w:val="both"/>
    </w:pPr>
    <w:rPr>
      <w:sz w:val="28"/>
      <w:szCs w:val="28"/>
    </w:rPr>
  </w:style>
  <w:style w:type="paragraph" w:styleId="949">
    <w:name w:val="Пункт_2"/>
    <w:basedOn w:val="910"/>
    <w:next w:val="949"/>
    <w:link w:val="910"/>
    <w:uiPriority w:val="99"/>
    <w:pPr>
      <w:numPr>
        <w:ilvl w:val="1"/>
        <w:numId w:val="16"/>
      </w:numPr>
      <w:jc w:val="both"/>
    </w:pPr>
    <w:rPr>
      <w:sz w:val="28"/>
      <w:szCs w:val="20"/>
    </w:rPr>
  </w:style>
  <w:style w:type="paragraph" w:styleId="950">
    <w:name w:val="Пункт_5"/>
    <w:basedOn w:val="948"/>
    <w:next w:val="950"/>
    <w:link w:val="910"/>
    <w:uiPriority w:val="99"/>
    <w:pPr>
      <w:numPr>
        <w:ilvl w:val="4"/>
        <w:numId w:val="16"/>
      </w:numPr>
    </w:pPr>
  </w:style>
  <w:style w:type="paragraph" w:styleId="951">
    <w:name w:val="Default"/>
    <w:next w:val="951"/>
    <w:link w:val="910"/>
    <w:rPr>
      <w:color w:val="000000"/>
      <w:sz w:val="24"/>
      <w:szCs w:val="24"/>
      <w:lang w:val="ru-RU" w:eastAsia="ru-RU" w:bidi="ar-SA"/>
    </w:rPr>
  </w:style>
  <w:style w:type="character" w:styleId="952">
    <w:name w:val="Заголовок 7 Знак"/>
    <w:next w:val="952"/>
    <w:link w:val="914"/>
    <w:semiHidden/>
    <w:rPr>
      <w:rFonts w:ascii="Calibri" w:hAnsi="Calibri" w:eastAsia="Times New Roman" w:cs="Times New Roman"/>
      <w:sz w:val="24"/>
      <w:szCs w:val="24"/>
    </w:rPr>
  </w:style>
  <w:style w:type="paragraph" w:styleId="953">
    <w:name w:val="Оглавление 8"/>
    <w:basedOn w:val="910"/>
    <w:next w:val="910"/>
    <w:link w:val="910"/>
    <w:uiPriority w:val="99"/>
    <w:pPr>
      <w:ind w:left="1960"/>
    </w:pPr>
    <w:rPr>
      <w:sz w:val="18"/>
      <w:szCs w:val="18"/>
    </w:rPr>
  </w:style>
  <w:style w:type="character" w:styleId="954">
    <w:name w:val="Подпункт Знак1"/>
    <w:next w:val="954"/>
    <w:link w:val="921"/>
    <w:rPr>
      <w:sz w:val="28"/>
    </w:rPr>
  </w:style>
  <w:style w:type="paragraph" w:styleId="955">
    <w:name w:val="Оглавление 1"/>
    <w:basedOn w:val="910"/>
    <w:next w:val="910"/>
    <w:link w:val="910"/>
  </w:style>
  <w:style w:type="character" w:styleId="956" w:default="1">
    <w:name w:val="Default Paragraph Font"/>
    <w:uiPriority w:val="1"/>
    <w:semiHidden/>
    <w:unhideWhenUsed/>
  </w:style>
  <w:style w:type="numbering" w:styleId="957" w:default="1">
    <w:name w:val="No List"/>
    <w:uiPriority w:val="99"/>
    <w:semiHidden/>
    <w:unhideWhenUsed/>
  </w:style>
  <w:style w:type="table" w:styleId="958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footer" Target="footer2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Liberation Sans"/>
        <a:ea typeface="Liberation Sans"/>
        <a:cs typeface="Liberation Sans"/>
      </a:majorFont>
      <a:minorFont>
        <a:latin typeface="Liberation Sans"/>
        <a:ea typeface="Liberation Sans"/>
        <a:cs typeface="Liberation Sans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>ОАО "МРСК Северо-Запада"</Company>
  <DocSecurity>0</DocSecurity>
  <HyperlinksChanged>false</HyperlinksChanged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открытого конкурса</dc:title>
  <dc:creator>Борисов Юрий Александрович</dc:creator>
  <cp:lastModifiedBy>kukanieva.lv</cp:lastModifiedBy>
  <cp:revision>296</cp:revision>
  <dcterms:created xsi:type="dcterms:W3CDTF">2021-07-08T11:48:00Z</dcterms:created>
  <dcterms:modified xsi:type="dcterms:W3CDTF">2026-04-27T06:31:42Z</dcterms:modified>
  <cp:version>1048576</cp:version>
</cp:coreProperties>
</file>