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Spec="center" w:vertAnchor="page" w:tblpY="710" w:leftFromText="180" w:topFromText="0" w:rightFromText="180" w:bottomFromText="0"/>
        <w:tblW w:w="98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510"/>
        <w:gridCol w:w="63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418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889" w:type="dxa"/>
            <w:vAlign w:val="top"/>
            <w:textDirection w:val="lrTb"/>
            <w:noWrap w:val="false"/>
          </w:tcPr>
          <w:p>
            <w:pPr>
              <w:pStyle w:val="867"/>
              <w:jc w:val="center"/>
              <w:framePr w:hSpace="180" w:wrap="around" w:vAnchor="page" w:hAnchor="margin" w:xAlign="center" w:y="710"/>
            </w:pPr>
            <w:r>
              <w:t xml:space="preserve">ИЗВЕЩЕНИЕ</w:t>
            </w:r>
            <w:r/>
          </w:p>
          <w:p>
            <w:pPr>
              <w:pStyle w:val="867"/>
              <w:jc w:val="center"/>
              <w:framePr w:hSpace="180" w:wrap="around" w:vAnchor="page" w:hAnchor="margin" w:xAlign="center" w:y="710"/>
            </w:pPr>
            <w:r>
              <w:t xml:space="preserve">о проведении запроса предложений </w:t>
            </w:r>
            <w:r>
              <w:t xml:space="preserve">в электронной форме</w:t>
            </w:r>
            <w:r/>
          </w:p>
          <w:p>
            <w:pPr>
              <w:pStyle w:val="867"/>
              <w:jc w:val="center"/>
              <w:rPr>
                <w:sz w:val="16"/>
                <w:szCs w:val="16"/>
              </w:rPr>
              <w:framePr w:hSpace="180" w:wrap="around" w:vAnchor="page" w:hAnchor="margin" w:xAlign="center" w:y="710"/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867"/>
              <w:jc w:val="center"/>
              <w:rPr>
                <w:lang w:val="en-US"/>
              </w:rPr>
              <w:framePr w:hSpace="180" w:wrap="around" w:vAnchor="page" w:hAnchor="margin" w:xAlign="center" w:y="710"/>
            </w:pPr>
            <w:r>
              <w:t xml:space="preserve">Публичное акционерное общество «</w:t>
            </w:r>
            <w:r>
              <w:t xml:space="preserve">Россети </w:t>
            </w:r>
            <w:r>
              <w:t xml:space="preserve">Ленэнерго» (далее - ПАО «</w:t>
            </w:r>
            <w:r>
              <w:t xml:space="preserve">Россети </w:t>
            </w:r>
            <w:r>
              <w:t xml:space="preserve">Ленэнерго», Заказчик), являющееся также Организатором закупки, настоящим приглашает к участию в запросе предложений в электронной форме (далее – запрос предложений, закупка)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867"/>
              <w:jc w:val="center"/>
              <w:rPr>
                <w:lang w:val="en-US"/>
              </w:rPr>
              <w:framePr w:hSpace="180" w:wrap="around" w:vAnchor="page" w:hAnchor="margin" w:xAlign="center" w:y="710"/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867"/>
              <w:rPr>
                <w:sz w:val="16"/>
                <w:szCs w:val="16"/>
              </w:rPr>
              <w:framePr w:hSpace="180" w:wrap="around" w:vAnchor="page" w:hAnchor="margin" w:xAlign="center" w:y="710"/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8"/>
        </w:trPr>
        <w:tc>
          <w:tcPr>
            <w:tcBorders>
              <w:top w:val="single" w:color="000000" w:sz="4" w:space="0"/>
            </w:tcBorders>
            <w:tcW w:w="3510" w:type="dxa"/>
            <w:vAlign w:val="center"/>
            <w:textDirection w:val="lrTb"/>
            <w:noWrap w:val="false"/>
          </w:tcPr>
          <w:p>
            <w:pPr>
              <w:pStyle w:val="867"/>
              <w:framePr w:hSpace="180" w:wrap="around" w:vAnchor="page" w:hAnchor="margin" w:xAlign="center" w:y="710"/>
            </w:pPr>
            <w:r>
              <w:t xml:space="preserve">Способ осуществления закупки</w:t>
            </w:r>
            <w:r/>
          </w:p>
        </w:tc>
        <w:tc>
          <w:tcPr>
            <w:tcBorders>
              <w:top w:val="single" w:color="000000" w:sz="4" w:space="0"/>
            </w:tcBorders>
            <w:tcW w:w="6379" w:type="dxa"/>
            <w:vAlign w:val="center"/>
            <w:textDirection w:val="lrTb"/>
            <w:noWrap w:val="false"/>
          </w:tcPr>
          <w:p>
            <w:pPr>
              <w:pStyle w:val="867"/>
              <w:jc w:val="both"/>
              <w:framePr w:hSpace="180" w:wrap="around" w:vAnchor="page" w:hAnchor="margin" w:xAlign="center" w:y="710"/>
            </w:pPr>
            <w:r>
              <w:t xml:space="preserve">З</w:t>
            </w:r>
            <w:r>
              <w:t xml:space="preserve">апрос предложений </w:t>
            </w:r>
            <w:r>
              <w:t xml:space="preserve"> в электронной форме 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16"/>
        </w:trPr>
        <w:tc>
          <w:tcPr>
            <w:tcBorders>
              <w:top w:val="single" w:color="000000" w:sz="4" w:space="0"/>
            </w:tcBorders>
            <w:tcW w:w="3510" w:type="dxa"/>
            <w:vAlign w:val="center"/>
            <w:textDirection w:val="lrTb"/>
            <w:noWrap w:val="false"/>
          </w:tcPr>
          <w:p>
            <w:pPr>
              <w:pStyle w:val="867"/>
              <w:framePr w:hSpace="180" w:wrap="around" w:vAnchor="page" w:hAnchor="margin" w:xAlign="center" w:y="710"/>
            </w:pPr>
            <w: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Borders>
              <w:top w:val="single" w:color="000000" w:sz="4" w:space="0"/>
            </w:tcBorders>
            <w:tcW w:w="6379" w:type="dxa"/>
            <w:vAlign w:val="top"/>
            <w:textDirection w:val="lrTb"/>
            <w:noWrap w:val="false"/>
          </w:tcPr>
          <w:p>
            <w:pPr>
              <w:pStyle w:val="867"/>
            </w:pPr>
            <w:r>
              <w:t xml:space="preserve">Наименование Заказчика: ПАО «Россети Ленэнерго»</w:t>
            </w:r>
            <w:r/>
          </w:p>
          <w:p>
            <w:pPr>
              <w:pStyle w:val="867"/>
            </w:pPr>
            <w:r>
              <w:t xml:space="preserve">Место нахождения и почтовый адрес Заказчика: 197349, </w:t>
            </w:r>
            <w:r/>
          </w:p>
          <w:p>
            <w:pPr>
              <w:pStyle w:val="867"/>
            </w:pPr>
            <w:r>
              <w:t xml:space="preserve">г. Санкт-Петербург, вн. тер. г. Муниципальный округ озеро Долгое, ул. Гаккелевская, д. 21, лит. А</w:t>
            </w:r>
            <w:r/>
          </w:p>
          <w:p>
            <w:pPr>
              <w:pStyle w:val="867"/>
            </w:pPr>
            <w:r>
              <w:t xml:space="preserve">Контактное лицо Заказчика: </w:t>
            </w:r>
            <w:r/>
          </w:p>
          <w:p>
            <w:pPr>
              <w:pStyle w:val="867"/>
            </w:pPr>
            <w:r>
              <w:t xml:space="preserve">Главный специалист отдела подготовки и проведения конкурсов Салей Анастасия Олеговна, тел. (812) 493-93-45, </w:t>
            </w:r>
            <w:r>
              <w:rPr>
                <w:lang w:val="en-US"/>
              </w:rPr>
              <w:t xml:space="preserve">E</w:t>
            </w:r>
            <w:r>
              <w:t xml:space="preserve">-</w:t>
            </w:r>
            <w:r>
              <w:rPr>
                <w:lang w:val="en-US"/>
              </w:rPr>
              <w:t xml:space="preserve">mail</w:t>
            </w:r>
            <w:r>
              <w:t xml:space="preserve">: </w:t>
            </w:r>
            <w:r>
              <w:fldChar w:fldCharType="begin"/>
            </w:r>
            <w:r>
              <w:instrText xml:space="preserve"> HYPERLINK "mailto:Salei.AO@lenenergo.ru" </w:instrText>
            </w:r>
            <w:r>
              <w:fldChar w:fldCharType="separate"/>
            </w:r>
            <w:r>
              <w:rPr>
                <w:rStyle w:val="887"/>
                <w:lang w:val="en-US"/>
              </w:rPr>
              <w:t xml:space="preserve">Salei</w:t>
            </w:r>
            <w:r>
              <w:rPr>
                <w:rStyle w:val="887"/>
              </w:rPr>
              <w:t xml:space="preserve">.</w:t>
            </w:r>
            <w:r>
              <w:rPr>
                <w:rStyle w:val="887"/>
                <w:lang w:val="en-US"/>
              </w:rPr>
              <w:t xml:space="preserve">AO</w:t>
            </w:r>
            <w:r>
              <w:rPr>
                <w:rStyle w:val="887"/>
              </w:rPr>
              <w:t xml:space="preserve">@</w:t>
            </w:r>
            <w:r>
              <w:rPr>
                <w:rStyle w:val="887"/>
                <w:lang w:val="en-US"/>
              </w:rPr>
              <w:t xml:space="preserve">lenenergo</w:t>
            </w:r>
            <w:r>
              <w:rPr>
                <w:rStyle w:val="887"/>
              </w:rPr>
              <w:t xml:space="preserve">.</w:t>
            </w:r>
            <w:r>
              <w:rPr>
                <w:rStyle w:val="887"/>
                <w:lang w:val="en-US"/>
              </w:rPr>
              <w:t xml:space="preserve">ru</w:t>
            </w:r>
            <w:r>
              <w:fldChar w:fldCharType="end"/>
            </w:r>
            <w:r>
              <w:t xml:space="preserve">;</w:t>
            </w:r>
            <w:r/>
          </w:p>
          <w:p>
            <w:pPr>
              <w:tabs>
                <w:tab w:val="left" w:pos="851" w:leader="none"/>
                <w:tab w:val="left" w:pos="1134" w:leader="none"/>
              </w:tabs>
            </w:pPr>
            <w:r>
              <w:t xml:space="preserve">Начальник отдела подготовки и проведения конкурсов Парфенов Николай Николаевич, тел. (812) 494-32-93,</w:t>
            </w:r>
            <w:r>
              <w:rPr>
                <w:lang w:val="en-US"/>
              </w:rPr>
              <w:t xml:space="preserve"> E</w:t>
            </w:r>
            <w:r>
              <w:t xml:space="preserve">-</w:t>
            </w:r>
            <w:r>
              <w:rPr>
                <w:lang w:val="en-US"/>
              </w:rPr>
              <w:t xml:space="preserve">mail</w:t>
            </w:r>
            <w:r>
              <w:t xml:space="preserve">: </w:t>
            </w:r>
            <w:r>
              <w:fldChar w:fldCharType="begin"/>
            </w:r>
            <w:r>
              <w:instrText xml:space="preserve"> HYPERLINK "mailto:Parfenov.NN@lenenergo.ru" </w:instrText>
            </w:r>
            <w:r>
              <w:fldChar w:fldCharType="separate"/>
            </w:r>
            <w:r>
              <w:rPr>
                <w:rStyle w:val="887"/>
              </w:rPr>
              <w:t xml:space="preserve">Parfenov.NN@</w:t>
            </w:r>
            <w:r>
              <w:rPr>
                <w:rStyle w:val="887"/>
                <w:lang w:val="en-US"/>
              </w:rPr>
              <w:t xml:space="preserve">len</w:t>
            </w:r>
            <w:r>
              <w:rPr>
                <w:rStyle w:val="887"/>
              </w:rPr>
              <w:t xml:space="preserve">energo.</w:t>
            </w:r>
            <w:r>
              <w:rPr>
                <w:rStyle w:val="887"/>
                <w:lang w:val="en-US"/>
              </w:rPr>
              <w:t xml:space="preserve">ru</w:t>
            </w:r>
            <w:r>
              <w:fldChar w:fldCharType="end"/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50"/>
        </w:trPr>
        <w:tc>
          <w:tcPr>
            <w:tcW w:w="3510" w:type="dxa"/>
            <w:vAlign w:val="center"/>
            <w:textDirection w:val="lrTb"/>
            <w:noWrap w:val="false"/>
          </w:tcPr>
          <w:p>
            <w:pPr>
              <w:pStyle w:val="867"/>
              <w:framePr w:hSpace="180" w:wrap="around" w:vAnchor="page" w:hAnchor="margin" w:xAlign="center" w:y="710"/>
            </w:pPr>
            <w:r>
              <w:t xml:space="preserve">Номер закупки в Плане закупки</w:t>
            </w:r>
            <w:r/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867"/>
              <w:rPr>
                <w:highlight w:val="yellow"/>
                <w:lang w:val="en-US"/>
              </w:rPr>
              <w:framePr w:hSpace="180" w:wrap="around" w:vAnchor="page" w:hAnchor="margin" w:xAlign="center" w:y="710"/>
            </w:pPr>
            <w:r>
              <w:rPr>
                <w:lang w:val="en-US"/>
              </w:rPr>
              <w:t xml:space="preserve">261391</w:t>
            </w:r>
            <w:r>
              <w:rPr>
                <w:highlight w:val="yellow"/>
                <w:lang w:val="en-US"/>
              </w:rPr>
            </w:r>
            <w:r>
              <w:rPr>
                <w:highlight w:val="yellow"/>
                <w:lang w:val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541"/>
        </w:trPr>
        <w:tc>
          <w:tcPr>
            <w:tcW w:w="3510" w:type="dxa"/>
            <w:vAlign w:val="center"/>
            <w:textDirection w:val="lrTb"/>
            <w:noWrap w:val="false"/>
          </w:tcPr>
          <w:p>
            <w:pPr>
              <w:pStyle w:val="867"/>
              <w:framePr w:hSpace="180" w:wrap="around" w:vAnchor="page" w:hAnchor="margin" w:xAlign="center" w:y="710"/>
            </w:pPr>
            <w:r>
              <w:t xml:space="preserve">Предмет договора с указанием объема оказываемой услуги</w:t>
            </w:r>
            <w:r/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867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Заключение рамочного договора на услуги по сопровождению мероприятий учебного комплекса ПАО "Россети Ленэнерго" (261391)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yellow"/>
              </w:rPr>
            </w:r>
          </w:p>
          <w:p>
            <w:pPr>
              <w:pStyle w:val="867"/>
              <w:rPr>
                <w:highlight w:val="yellow"/>
              </w:rPr>
              <w:framePr w:hSpace="180" w:wrap="around" w:vAnchor="page" w:hAnchor="margin" w:xAlign="center" w:y="710"/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pStyle w:val="867"/>
              <w:jc w:val="both"/>
              <w:rPr>
                <w:highlight w:val="yellow"/>
              </w:rPr>
              <w:framePr w:hSpace="180" w:wrap="around" w:vAnchor="page" w:hAnchor="margin" w:xAlign="center" w:y="710"/>
            </w:pPr>
            <w:r>
              <w:t xml:space="preserve">Более подробно информация о</w:t>
            </w:r>
            <w:r>
              <w:t xml:space="preserve">б</w:t>
            </w:r>
            <w:r>
              <w:t xml:space="preserve"> объеме оказываемых услуг, определены Техническом задании (</w:t>
            </w:r>
            <w:r>
              <w:t xml:space="preserve">Раздел №</w:t>
            </w:r>
            <w:r>
              <w:rPr>
                <w:lang w:val="en-US"/>
              </w:rPr>
              <w:t xml:space="preserve">V</w:t>
            </w:r>
            <w:r>
              <w:t xml:space="preserve"> к </w:t>
            </w:r>
            <w:r>
              <w:t xml:space="preserve">документации о закупке</w:t>
            </w:r>
            <w:r>
              <w:t xml:space="preserve">) и/или Проекте договора (</w:t>
            </w:r>
            <w:r>
              <w:t xml:space="preserve">Раздел №</w:t>
            </w:r>
            <w:r>
              <w:rPr>
                <w:lang w:val="en-US"/>
              </w:rPr>
              <w:t xml:space="preserve">IV</w:t>
            </w:r>
            <w:r>
              <w:t xml:space="preserve"> к </w:t>
            </w:r>
            <w:r>
              <w:t xml:space="preserve">документации о закупке</w:t>
            </w:r>
            <w:r>
              <w:t xml:space="preserve">)</w:t>
            </w:r>
            <w:r>
              <w:t xml:space="preserve">.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404"/>
        </w:trPr>
        <w:tc>
          <w:tcPr>
            <w:tcW w:w="3510" w:type="dxa"/>
            <w:vAlign w:val="center"/>
            <w:textDirection w:val="lrTb"/>
            <w:noWrap w:val="false"/>
          </w:tcPr>
          <w:p>
            <w:pPr>
              <w:pStyle w:val="867"/>
              <w:framePr w:hSpace="180" w:wrap="around" w:vAnchor="page" w:hAnchor="margin" w:xAlign="center" w:y="710"/>
            </w:pPr>
            <w:r>
              <w:t xml:space="preserve">Краткое описание</w:t>
            </w:r>
            <w:r/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867"/>
              <w:jc w:val="both"/>
              <w:rPr>
                <w:color w:val="44444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Заключение рамочного договора на услуги по сопровождению мероприятий учебного комплекса ПАО "Россети Ленэнерго"</w:t>
            </w:r>
            <w:r>
              <w:rPr>
                <w:color w:val="444444"/>
              </w:rPr>
            </w:r>
            <w:r>
              <w:rPr>
                <w:color w:val="44444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7"/>
        </w:trPr>
        <w:tc>
          <w:tcPr>
            <w:tcW w:w="3510" w:type="dxa"/>
            <w:vAlign w:val="center"/>
            <w:textDirection w:val="lrTb"/>
            <w:noWrap w:val="false"/>
          </w:tcPr>
          <w:p>
            <w:pPr>
              <w:pStyle w:val="867"/>
              <w:framePr w:hSpace="180" w:wrap="around" w:vAnchor="page" w:hAnchor="margin" w:xAlign="center" w:y="710"/>
            </w:pPr>
            <w:r>
              <w:t xml:space="preserve">Требования к участникам запроса предложений</w:t>
            </w:r>
            <w:r/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867"/>
              <w:jc w:val="both"/>
            </w:pPr>
            <w:r>
              <w:t xml:space="preserve">Участником закупки может быть любое юридическое лицо или несколько юридических лиц, выступающих на стороне од</w:t>
            </w:r>
            <w:r>
              <w:t xml:space="preserve">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14.07.2022 </w:t>
            </w:r>
            <w:r>
              <w:br w:type="textWrapping" w:clear="all"/>
            </w:r>
            <w:r>
              <w:t xml:space="preserve">№ 255-ФЗ "О</w:t>
            </w:r>
            <w:r>
              <w:t xml:space="preserve"> контроле за деятельностью лиц, находящихся под иностранным влиянием,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</w:t>
            </w:r>
            <w:r>
              <w:t xml:space="preserve">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14.07.2022 № 255-ФЗ "О контроле за деятельностью лиц, находящихся под иностранным влиянием".</w:t>
            </w:r>
            <w:r/>
          </w:p>
          <w:p>
            <w:pPr>
              <w:pStyle w:val="86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867"/>
              <w:jc w:val="both"/>
            </w:pPr>
            <w:r>
              <w:t xml:space="preserve">Более подробные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83"/>
        </w:trPr>
        <w:tc>
          <w:tcPr>
            <w:tcW w:w="3510" w:type="dxa"/>
            <w:vAlign w:val="center"/>
            <w:textDirection w:val="lrTb"/>
            <w:noWrap w:val="false"/>
          </w:tcPr>
          <w:p>
            <w:pPr>
              <w:pStyle w:val="867"/>
              <w:framePr w:hSpace="180" w:wrap="around" w:vAnchor="page" w:hAnchor="margin" w:xAlign="center" w:y="710"/>
            </w:pPr>
            <w:r>
              <w:t xml:space="preserve">Сведения о начальной (максимальной) цене договора (цена закупки),  конкретный размер начальной (максимальной) цены договора, либо формула цены, указание максимального значения цены договора, либо цены единицы услуги и максимального значения цены договора</w:t>
            </w:r>
            <w:r/>
          </w:p>
        </w:tc>
        <w:tc>
          <w:tcPr>
            <w:tcW w:w="6379" w:type="dxa"/>
            <w:vAlign w:val="top"/>
            <w:textDirection w:val="lrTb"/>
            <w:noWrap w:val="false"/>
          </w:tcPr>
          <w:p>
            <w:pPr>
              <w:pStyle w:val="867"/>
              <w:framePr w:hSpace="180" w:wrap="around" w:vAnchor="page" w:hAnchor="margin" w:xAlign="center" w:y="710"/>
            </w:pPr>
            <w:r>
              <w:t xml:space="preserve">Начальная (максимальная) цена рамочного договора (цена </w:t>
            </w:r>
            <w:r>
              <w:t xml:space="preserve">закупки):</w:t>
            </w:r>
            <w:r/>
          </w:p>
          <w:p>
            <w:pPr>
              <w:pStyle w:val="867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  <w:t xml:space="preserve">14 861 000,00</w:t>
            </w:r>
            <w:r>
              <w:rPr>
                <w:b/>
              </w:rPr>
              <w:t xml:space="preserve"> руб. с НДС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67"/>
            </w:pPr>
            <w:r>
              <w:t xml:space="preserve">2 679 852,46</w:t>
            </w:r>
            <w:r>
              <w:t xml:space="preserve"> руб. НДС-22%</w:t>
            </w:r>
            <w:r/>
          </w:p>
          <w:p>
            <w:pPr>
              <w:pStyle w:val="867"/>
            </w:pPr>
            <w:r>
              <w:t xml:space="preserve">12 181 147,54</w:t>
            </w:r>
            <w:r>
              <w:t xml:space="preserve"> руб. без НДС</w:t>
            </w:r>
            <w:r/>
          </w:p>
          <w:p>
            <w:pPr>
              <w:pStyle w:val="867"/>
            </w:pPr>
            <w:r/>
            <w:r/>
          </w:p>
          <w:p>
            <w:pPr>
              <w:pStyle w:val="867"/>
            </w:pPr>
            <w:r>
              <w:t xml:space="preserve">Стоимость единичных расценок:</w:t>
            </w:r>
            <w:r/>
          </w:p>
          <w:p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1 004 269,09 руб. с НДС, 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867"/>
              <w:rPr>
                <w:b/>
                <w:bCs/>
              </w:rPr>
            </w:pPr>
            <w:r>
              <w:rPr>
                <w:b/>
                <w:bCs/>
              </w:rPr>
              <w:t xml:space="preserve">823 171,39 руб. без НДС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867"/>
              <w:rPr>
                <w:b/>
                <w:bCs/>
              </w:rPr>
              <w:framePr w:hSpace="180" w:wrap="around" w:vAnchor="page" w:hAnchor="margin" w:xAlign="center" w:y="710"/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867"/>
              <w:ind w:right="17"/>
              <w:shd w:val="clear" w:color="auto" w:fill="ffffff"/>
              <w:widowControl w:val="off"/>
              <w:tabs>
                <w:tab w:val="left" w:pos="709" w:leader="none"/>
              </w:tabs>
              <w:framePr w:hSpace="180" w:wrap="around" w:vAnchor="page" w:hAnchor="margin" w:xAlign="center" w:y="710"/>
            </w:pPr>
            <w:r>
              <w:t xml:space="preserve">Единичные р</w:t>
            </w:r>
            <w:r>
              <w:t xml:space="preserve">асценки приведены в Приложении№1 к ТЗ. </w:t>
            </w:r>
            <w:r/>
          </w:p>
          <w:p>
            <w:pPr>
              <w:pStyle w:val="867"/>
              <w:rPr>
                <w:rFonts w:eastAsia="Calibri"/>
              </w:rPr>
              <w:framePr w:hSpace="180" w:wrap="around" w:vAnchor="page" w:hAnchor="margin" w:xAlign="center" w:y="710"/>
            </w:pPr>
            <w:r>
              <w:rPr>
                <w:rFonts w:eastAsia="Calibri"/>
              </w:rPr>
              <w:t xml:space="preserve">Единичные расценки, предлагаемые участником, должны быть не выше начальной (максимальной) цены единицы услуги (руб. без НДС/ с НДС).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867"/>
              <w:framePr w:hSpace="180" w:wrap="around" w:vAnchor="page" w:hAnchor="margin" w:xAlign="center" w:y="710"/>
            </w:pPr>
            <w:r/>
            <w:r/>
          </w:p>
          <w:p>
            <w:pPr>
              <w:pStyle w:val="867"/>
              <w:framePr w:hSpace="180" w:wrap="around" w:vAnchor="page" w:hAnchor="margin" w:xAlign="center" w:y="710"/>
            </w:pPr>
            <w:r>
              <w:t xml:space="preserve">При снижении участником, представленных заказчиком расценок, процент снижения должен быть одинаковым по всему перечню расценок. В случае невыполнения данного требования при подаче предложения участником, такое предложение участника подлежит отклонению.</w:t>
            </w:r>
            <w:r/>
          </w:p>
          <w:p>
            <w:pPr>
              <w:pStyle w:val="867"/>
              <w:framePr w:hSpace="180" w:wrap="around" w:vAnchor="page" w:hAnchor="margin" w:xAlign="center" w:y="710"/>
            </w:pPr>
            <w:r/>
            <w:r/>
          </w:p>
          <w:p>
            <w:pPr>
              <w:pStyle w:val="912"/>
              <w:jc w:val="both"/>
              <w:framePr w:hSpace="180" w:wrap="around" w:vAnchor="page" w:hAnchor="margin" w:xAlign="center" w:y="710"/>
            </w:pPr>
            <w:r>
              <w:t xml:space="preserve">Цена договора, предлагаемая участником закупки, должна быть равна начальной (максимальной) цене договора (цене закупки), указанная в извещении о проведении </w:t>
            </w:r>
            <w:r>
              <w:t xml:space="preserve">конкурса</w:t>
            </w:r>
            <w:r>
              <w:t xml:space="preserve"> и п.п. 1.3.1, 3.5.1 части I «ОБЩИЕ УСЛОВИЯ ПРОВЕДЕНИЯ ЗАКУПКИ» документации о закупке, при этом в случае, если участник закупки находится на упрощенной системе налогообложения либо работы участника не облагаются НД</w:t>
            </w:r>
            <w:r>
              <w:t xml:space="preserve">С, учитывается ценовое предложение участника без НДС относительно начальной (максимальной) цены договора (цены закупки) с учётом исключённого из неё НДС (превышение показателя стоимости без НДС, указанного в порядке определения стоимости НМЦ, недопустимо).</w:t>
            </w:r>
            <w:r/>
          </w:p>
          <w:p>
            <w:pPr>
              <w:pStyle w:val="867"/>
              <w:framePr w:hSpace="180" w:wrap="around" w:vAnchor="page" w:hAnchor="margin" w:xAlign="center" w:y="710"/>
            </w:pPr>
            <w:r/>
            <w:r/>
          </w:p>
          <w:p>
            <w:pPr>
              <w:pStyle w:val="912"/>
              <w:jc w:val="both"/>
              <w:framePr w:hSpace="180" w:wrap="around" w:vAnchor="page" w:hAnchor="margin" w:xAlign="center" w:y="710"/>
            </w:pPr>
            <w:r>
              <w:t xml:space="preserve">Нач</w:t>
            </w:r>
            <w:r>
              <w:t xml:space="preserve">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исполнитель договора должен оплачивать в соответствии с условиями договора или на иных основаниях.</w:t>
            </w:r>
            <w:r/>
          </w:p>
          <w:p>
            <w:pPr>
              <w:pStyle w:val="867"/>
              <w:framePr w:hSpace="180" w:wrap="around" w:vAnchor="page" w:hAnchor="margin" w:xAlign="center" w:y="710"/>
            </w:pPr>
            <w:r/>
            <w:r/>
          </w:p>
          <w:p>
            <w:pPr>
              <w:pStyle w:val="867"/>
              <w:framePr w:hSpace="180" w:wrap="around" w:vAnchor="page" w:hAnchor="margin" w:xAlign="center" w:y="710"/>
            </w:pPr>
            <w:r>
              <w:t xml:space="preserve">Обоснование НМЦ указано в Приложении №3 к настоящей документации о закупке – «Обоснование НМЦ».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31"/>
        </w:trPr>
        <w:tc>
          <w:tcPr>
            <w:tcW w:w="3510" w:type="dxa"/>
            <w:vAlign w:val="center"/>
            <w:textDirection w:val="lrTb"/>
            <w:noWrap w:val="false"/>
          </w:tcPr>
          <w:p>
            <w:pPr>
              <w:pStyle w:val="867"/>
              <w:framePr w:hSpace="180" w:wrap="around" w:vAnchor="page" w:hAnchor="margin" w:xAlign="center" w:y="710"/>
            </w:pPr>
            <w:r>
              <w:t xml:space="preserve">Место оказания услуг</w:t>
            </w:r>
            <w:r/>
          </w:p>
          <w:p>
            <w:pPr>
              <w:pStyle w:val="867"/>
              <w:framePr w:hSpace="180" w:wrap="around" w:vAnchor="page" w:hAnchor="margin" w:xAlign="center" w:y="710"/>
            </w:pPr>
            <w:r/>
            <w:r/>
          </w:p>
          <w:p>
            <w:pPr>
              <w:pStyle w:val="867"/>
              <w:framePr w:hSpace="180" w:wrap="around" w:vAnchor="page" w:hAnchor="margin" w:xAlign="center" w:y="710"/>
            </w:pPr>
            <w:r/>
            <w:r/>
          </w:p>
          <w:p>
            <w:pPr>
              <w:pStyle w:val="867"/>
              <w:framePr w:hSpace="180" w:wrap="around" w:vAnchor="page" w:hAnchor="margin" w:xAlign="center" w:y="710"/>
            </w:pPr>
            <w:r/>
            <w:r/>
          </w:p>
          <w:p>
            <w:pPr>
              <w:pStyle w:val="867"/>
              <w:framePr w:hSpace="180" w:wrap="around" w:vAnchor="page" w:hAnchor="margin" w:xAlign="center" w:y="710"/>
            </w:pPr>
            <w:r>
              <w:t xml:space="preserve">Сроки оказания услуг</w:t>
            </w:r>
            <w:r/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867"/>
            </w:pPr>
            <w:r>
              <w:t xml:space="preserve">Место оказания услуг</w:t>
            </w:r>
            <w:r>
              <w:t xml:space="preserve">: </w:t>
            </w:r>
            <w:r>
              <w:rPr>
                <w:bCs/>
              </w:rPr>
              <w:t xml:space="preserve">Санкт-Петербург, Ленинградская область</w:t>
            </w:r>
            <w:r/>
          </w:p>
          <w:p>
            <w:pPr>
              <w:pStyle w:val="867"/>
              <w:jc w:val="both"/>
              <w:rPr>
                <w:szCs w:val="28"/>
              </w:rPr>
              <w:framePr w:hSpace="180" w:wrap="around" w:vAnchor="page" w:hAnchor="margin" w:xAlign="center" w:y="710"/>
            </w:pPr>
            <w:r>
              <w:rPr>
                <w:szCs w:val="28"/>
              </w:rPr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pStyle w:val="867"/>
              <w:jc w:val="both"/>
              <w:framePr w:hSpace="180" w:wrap="around" w:vAnchor="page" w:hAnchor="margin" w:xAlign="center" w:y="710"/>
            </w:pPr>
            <w:r>
              <w:t xml:space="preserve">Сроки оказания услуг:</w:t>
            </w:r>
            <w:r>
              <w:t xml:space="preserve"> </w:t>
            </w:r>
            <w:r>
              <w:t xml:space="preserve">26.06.2026 - 30.06.2027</w:t>
            </w:r>
            <w:r/>
          </w:p>
          <w:p>
            <w:pPr>
              <w:pStyle w:val="867"/>
              <w:jc w:val="both"/>
              <w:rPr>
                <w:sz w:val="16"/>
                <w:szCs w:val="16"/>
              </w:rPr>
              <w:framePr w:hSpace="180" w:wrap="around" w:vAnchor="page" w:hAnchor="margin" w:xAlign="center" w:y="710"/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867"/>
              <w:jc w:val="both"/>
              <w:framePr w:hSpace="180" w:wrap="around" w:vAnchor="page" w:hAnchor="margin" w:xAlign="center" w:y="710"/>
            </w:pPr>
            <w:r>
              <w:t xml:space="preserve">Бол</w:t>
            </w:r>
            <w:r>
              <w:t xml:space="preserve">ее подробно информация </w:t>
            </w:r>
            <w:r>
              <w:t xml:space="preserve">о месте, условиях и сроках (периодах) оказания услуг указана </w:t>
            </w:r>
            <w:r>
              <w:t xml:space="preserve">в Техническом задании (</w:t>
            </w:r>
            <w:r>
              <w:t xml:space="preserve">Раздел №V </w:t>
            </w:r>
            <w:r>
              <w:t xml:space="preserve">к документации о закупке) и/или Проекте договора (</w:t>
            </w:r>
            <w:r>
              <w:t xml:space="preserve">Раздел №IV</w:t>
            </w:r>
            <w:r>
              <w:t xml:space="preserve"> к документации о закупке).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3"/>
        </w:trPr>
        <w:tc>
          <w:tcPr>
            <w:tcW w:w="3510" w:type="dxa"/>
            <w:vAlign w:val="center"/>
            <w:textDirection w:val="lrTb"/>
            <w:noWrap w:val="false"/>
          </w:tcPr>
          <w:p>
            <w:pPr>
              <w:pStyle w:val="867"/>
              <w:framePr w:hSpace="180" w:wrap="around" w:vAnchor="page" w:hAnchor="margin" w:xAlign="center" w:y="710"/>
            </w:pPr>
            <w:r>
              <w:t xml:space="preserve">Форма, сроки и порядок оплаты услуги</w:t>
            </w:r>
            <w:r/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867"/>
              <w:jc w:val="both"/>
              <w:framePr w:hSpace="180" w:wrap="around" w:vAnchor="page" w:hAnchor="margin" w:xAlign="center" w:y="710"/>
            </w:pPr>
            <w:r>
              <w:t xml:space="preserve">Форма, сроки и порядок оплаты услуги установлены в разделе V «Техническое задание» и разделе IV «Проект договора» настоящей документации о закупке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50"/>
        </w:trPr>
        <w:tc>
          <w:tcPr>
            <w:tcW w:w="3510" w:type="dxa"/>
            <w:vAlign w:val="center"/>
            <w:textDirection w:val="lrTb"/>
            <w:noWrap w:val="false"/>
          </w:tcPr>
          <w:p>
            <w:pPr>
              <w:pStyle w:val="867"/>
              <w:rPr>
                <w:rFonts w:eastAsia="Calibri"/>
              </w:rPr>
              <w:framePr w:hSpace="180" w:wrap="around" w:vAnchor="page" w:hAnchor="margin" w:xAlign="center" w:y="710"/>
            </w:pPr>
            <w:r>
              <w:t xml:space="preserve">Срок, место и порядок предоставления документации о закупке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867"/>
              <w:jc w:val="both"/>
              <w:framePr w:hSpace="180" w:wrap="around" w:vAnchor="page" w:hAnchor="margin" w:xAlign="center" w:y="710"/>
            </w:pPr>
            <w:r>
              <w:t xml:space="preserve">Срок </w:t>
            </w:r>
            <w:r>
              <w:t xml:space="preserve">предоставления документации</w:t>
            </w:r>
            <w:r>
              <w:t xml:space="preserve"> о закупке</w:t>
            </w:r>
            <w:r>
              <w:t xml:space="preserve">: </w:t>
            </w:r>
            <w:r/>
          </w:p>
          <w:p>
            <w:pPr>
              <w:pStyle w:val="867"/>
              <w:jc w:val="both"/>
              <w:framePr w:hSpace="180" w:wrap="around" w:vAnchor="page" w:hAnchor="margin" w:xAlign="center" w:y="710"/>
            </w:pPr>
            <w:r>
              <w:t xml:space="preserve">с </w:t>
            </w:r>
            <w:r>
              <w:t xml:space="preserve">05.05.2026</w:t>
            </w:r>
            <w:r>
              <w:t xml:space="preserve"> по 18</w:t>
            </w:r>
            <w:r>
              <w:t xml:space="preserve">.05.2026</w:t>
            </w:r>
            <w:r/>
          </w:p>
          <w:p>
            <w:pPr>
              <w:pStyle w:val="867"/>
              <w:jc w:val="both"/>
              <w:framePr w:hSpace="180" w:wrap="around" w:vAnchor="page" w:hAnchor="margin" w:xAlign="center" w:y="710"/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r>
              <w:fldChar w:fldCharType="begin"/>
            </w:r>
            <w:r>
              <w:instrText xml:space="preserve"> HYPERLINK "http://www.zakupki.gov.ru" </w:instrText>
            </w:r>
            <w:r>
              <w:fldChar w:fldCharType="separate"/>
            </w:r>
            <w:r>
              <w:t xml:space="preserve">www.zakupki.gov.ru</w:t>
            </w:r>
            <w:r>
              <w:fldChar w:fldCharType="end"/>
            </w:r>
            <w:r>
              <w:t xml:space="preserve">, а также на сайте электрон</w:t>
            </w:r>
            <w:r>
              <w:t xml:space="preserve">ной торговой площадки (далее – </w:t>
            </w:r>
            <w:r>
              <w:t xml:space="preserve">ЭТП)</w:t>
            </w:r>
            <w:r>
              <w:t xml:space="preserve"> </w:t>
            </w:r>
            <w:r>
              <w:rPr>
                <w:rStyle w:val="879"/>
              </w:rPr>
              <w:t xml:space="preserve"> </w:t>
            </w:r>
            <w:r>
              <w:rPr>
                <w:rStyle w:val="887"/>
              </w:rPr>
              <w:fldChar w:fldCharType="begin"/>
            </w:r>
            <w:r>
              <w:rPr>
                <w:rStyle w:val="887"/>
              </w:rPr>
              <w:instrText xml:space="preserve"> HYPERLINK "</w:instrText>
            </w:r>
            <w:r>
              <w:rPr>
                <w:rStyle w:val="887"/>
              </w:rPr>
              <w:instrText xml:space="preserve">https://tender.lot-online.ru/</w:instrText>
            </w:r>
            <w:r>
              <w:rPr>
                <w:rStyle w:val="887"/>
              </w:rPr>
              <w:instrText xml:space="preserve">" </w:instrText>
            </w:r>
            <w:r>
              <w:rPr>
                <w:rStyle w:val="887"/>
              </w:rPr>
              <w:fldChar w:fldCharType="separate"/>
            </w:r>
            <w:r>
              <w:rPr>
                <w:rStyle w:val="887"/>
              </w:rPr>
              <w:t xml:space="preserve">https://tender.lot-online.ru/</w:t>
            </w:r>
            <w:r>
              <w:rPr>
                <w:rStyle w:val="887"/>
              </w:rPr>
              <w:fldChar w:fldCharType="end"/>
            </w:r>
            <w:r>
              <w:t xml:space="preserve"> </w:t>
            </w:r>
            <w:r>
              <w:t xml:space="preserve">со дня размещения документации</w:t>
            </w:r>
            <w:r>
              <w:t xml:space="preserve"> о закупке</w:t>
            </w:r>
            <w:r>
              <w:t xml:space="preserve"> и настоящего извещения на вышеуказанных сайтах и в вышеуказанные сроки</w:t>
            </w:r>
            <w:r>
              <w:rPr>
                <w:color w:val="000000"/>
              </w:rPr>
              <w:t xml:space="preserve">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23"/>
        </w:trPr>
        <w:tc>
          <w:tcPr>
            <w:tcW w:w="3510" w:type="dxa"/>
            <w:vAlign w:val="center"/>
            <w:textDirection w:val="lrTb"/>
            <w:noWrap w:val="false"/>
          </w:tcPr>
          <w:p>
            <w:pPr>
              <w:pStyle w:val="867"/>
              <w:framePr w:hSpace="180" w:wrap="around" w:vAnchor="page" w:hAnchor="margin" w:xAlign="center" w:y="710"/>
            </w:pPr>
            <w: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/>
          </w:p>
        </w:tc>
        <w:tc>
          <w:tcPr>
            <w:tcW w:w="6379" w:type="dxa"/>
            <w:vAlign w:val="top"/>
            <w:textDirection w:val="lrTb"/>
            <w:noWrap w:val="false"/>
          </w:tcPr>
          <w:p>
            <w:pPr>
              <w:pStyle w:val="867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/>
          </w:p>
          <w:p>
            <w:pPr>
              <w:pStyle w:val="86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912"/>
            </w:pPr>
            <w:r>
              <w:t xml:space="preserve">Дата начала срока подачи заявок: 05.05.2026;</w:t>
            </w:r>
            <w:r/>
          </w:p>
          <w:p>
            <w:pPr>
              <w:pStyle w:val="912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pPr>
              <w:pStyle w:val="912"/>
            </w:pPr>
            <w:r>
              <w:t xml:space="preserve">18.05.2026 11:00 (время московское)</w:t>
            </w:r>
            <w:r/>
          </w:p>
          <w:p>
            <w:pPr>
              <w:pStyle w:val="912"/>
            </w:pPr>
            <w:r/>
            <w:r/>
          </w:p>
          <w:p>
            <w:pPr>
              <w:pStyle w:val="912"/>
            </w:pPr>
            <w:r>
              <w:t xml:space="preserve">Этап «Рассмотрение заявок участников»: </w:t>
            </w:r>
            <w:r/>
          </w:p>
          <w:p>
            <w:pPr>
              <w:pStyle w:val="912"/>
            </w:pPr>
            <w:r>
              <w:t xml:space="preserve">дата начала этапа – 18.05.2026.</w:t>
            </w:r>
            <w:r/>
          </w:p>
          <w:p>
            <w:pPr>
              <w:pStyle w:val="912"/>
            </w:pPr>
            <w:r>
              <w:t xml:space="preserve">дата окончания этапа – 26.05.2026 </w:t>
            </w:r>
            <w:r/>
          </w:p>
          <w:p>
            <w:pPr>
              <w:pStyle w:val="912"/>
            </w:pPr>
            <w:r/>
            <w:r/>
          </w:p>
          <w:p>
            <w:pPr>
              <w:pStyle w:val="912"/>
            </w:pPr>
            <w:r>
              <w:t xml:space="preserve">Этап «Переторжка»:  </w:t>
            </w:r>
            <w:r/>
          </w:p>
          <w:p>
            <w:r>
              <w:t xml:space="preserve">дата начала этапа – 27</w:t>
            </w:r>
            <w:r>
              <w:t xml:space="preserve">.05.2026</w:t>
            </w:r>
            <w:r>
              <w:t xml:space="preserve"> г.</w:t>
            </w:r>
            <w:r/>
          </w:p>
          <w:p>
            <w:pPr>
              <w:pStyle w:val="912"/>
            </w:pPr>
            <w:r>
              <w:t xml:space="preserve">дата окончания этапа – 27</w:t>
            </w:r>
            <w:r>
              <w:t xml:space="preserve">.05.2026</w:t>
            </w:r>
            <w:r>
              <w:t xml:space="preserve"> г</w:t>
            </w:r>
            <w:r/>
          </w:p>
          <w:p>
            <w:pPr>
              <w:pStyle w:val="912"/>
            </w:pPr>
            <w:r/>
            <w:r/>
          </w:p>
          <w:p>
            <w:pPr>
              <w:pStyle w:val="912"/>
            </w:pPr>
            <w:r>
              <w:t xml:space="preserve">Этап «Подведение итогов закупки, в рамках которых осуществляется оценка и сопоставление заявок участников, допущенных до участия в закупке по результатам рассмотрения заявок»: </w:t>
            </w:r>
            <w:r/>
          </w:p>
          <w:p>
            <w:pPr>
              <w:pStyle w:val="912"/>
            </w:pPr>
            <w:r>
              <w:t xml:space="preserve">дата начала этапа – 28.05.2026 </w:t>
            </w:r>
            <w:r/>
          </w:p>
          <w:p>
            <w:pPr>
              <w:pStyle w:val="912"/>
              <w:jc w:val="both"/>
            </w:pPr>
            <w:r>
              <w:t xml:space="preserve">дата окончания этапа – 28.05.2026</w:t>
            </w:r>
            <w:r/>
          </w:p>
          <w:p>
            <w:pPr>
              <w:pStyle w:val="912"/>
              <w:jc w:val="both"/>
            </w:pPr>
            <w:r/>
            <w:r/>
          </w:p>
          <w:p>
            <w:pPr>
              <w:pStyle w:val="890"/>
              <w:jc w:val="both"/>
              <w:spacing w:after="0"/>
              <w:framePr w:hSpace="180" w:wrap="around" w:vAnchor="page" w:hAnchor="margin" w:xAlign="center" w:y="710"/>
            </w:pPr>
            <w:r>
              <w:t xml:space="preserve">По решению Закупочной комиссии после окончания срока подачи заявок Заказчик вправе изменить сроки проведения последующих этапов закупки</w:t>
            </w:r>
            <w:r>
              <w:t xml:space="preserve">. Вносимые изменения оформляются путем подписания соответствующего Протокола</w:t>
            </w:r>
            <w:r>
              <w:t xml:space="preserve">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4"/>
        </w:trPr>
        <w:tc>
          <w:tcPr>
            <w:tcBorders>
              <w:top w:val="single" w:color="000000" w:sz="4" w:space="0"/>
            </w:tcBorders>
            <w:tcW w:w="3510" w:type="dxa"/>
            <w:vAlign w:val="center"/>
            <w:textDirection w:val="lrTb"/>
            <w:noWrap w:val="false"/>
          </w:tcPr>
          <w:p>
            <w:pPr>
              <w:pStyle w:val="912"/>
              <w:widowControl w:val="off"/>
            </w:pPr>
            <w:r>
              <w:t xml:space="preserve">Сведе</w:t>
            </w:r>
            <w:r>
              <w:t xml:space="preserve">ния о национальном режиме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r/>
          </w:p>
        </w:tc>
        <w:tc>
          <w:tcPr>
            <w:tcBorders>
              <w:top w:val="single" w:color="000000" w:sz="4" w:space="0"/>
            </w:tcBorders>
            <w:tcW w:w="6379" w:type="dxa"/>
            <w:vAlign w:val="top"/>
            <w:textDirection w:val="lrTb"/>
            <w:noWrap w:val="false"/>
          </w:tcPr>
          <w:p>
            <w:pPr>
              <w:pStyle w:val="912"/>
              <w:jc w:val="both"/>
              <w:widowControl w:val="off"/>
            </w:pPr>
            <w:r>
              <w:t xml:space="preserve">В соответствии с Постановлен</w:t>
            </w:r>
            <w:r>
              <w:t xml:space="preserve">ием Правительства РФ от 23.12.2024 N 1875"О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4"/>
        </w:trPr>
        <w:tc>
          <w:tcPr>
            <w:tcBorders>
              <w:top w:val="single" w:color="000000" w:sz="4" w:space="0"/>
            </w:tcBorders>
            <w:tcW w:w="3510" w:type="dxa"/>
            <w:vAlign w:val="top"/>
            <w:textDirection w:val="lrTb"/>
            <w:noWrap w:val="false"/>
          </w:tcPr>
          <w:p>
            <w:pPr>
              <w:pStyle w:val="912"/>
              <w:rPr>
                <w:strike/>
                <w:color w:val="ff0000"/>
                <w:highlight w:val="none"/>
              </w:rPr>
            </w:pPr>
            <w:r>
              <w:rPr>
                <w:highlight w:val="none"/>
              </w:rPr>
              <w:t xml:space="preserve">Запрет закупок товаров (в том числе поставляемых при в</w:t>
            </w:r>
            <w:r>
              <w:rPr>
                <w:highlight w:val="none"/>
              </w:rPr>
              <w:t xml:space="preserve">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</w:t>
            </w:r>
            <w:hyperlink w:tooltip="ПЕРЕЧЕНЬ" w:anchor="P174" w:history="1">
              <w:r>
                <w:rPr>
                  <w:highlight w:val="none"/>
                </w:rPr>
                <w:t xml:space="preserve">приложению N 1</w:t>
              </w:r>
            </w:hyperlink>
            <w:r>
              <w:rPr>
                <w:highlight w:val="none"/>
              </w:rPr>
              <w:t xml:space="preserve">.</w:t>
            </w:r>
            <w:r>
              <w:rPr>
                <w:strike/>
                <w:color w:val="ff0000"/>
                <w:highlight w:val="none"/>
              </w:rPr>
            </w:r>
            <w:r>
              <w:rPr>
                <w:strike/>
                <w:color w:val="ff0000"/>
                <w:highlight w:val="none"/>
              </w:rPr>
            </w:r>
          </w:p>
        </w:tc>
        <w:tc>
          <w:tcPr>
            <w:tcBorders>
              <w:top w:val="single" w:color="000000" w:sz="4" w:space="0"/>
            </w:tcBorders>
            <w:tcW w:w="6379" w:type="dxa"/>
            <w:vAlign w:val="center"/>
            <w:textDirection w:val="lrTb"/>
            <w:noWrap w:val="false"/>
          </w:tcPr>
          <w:p>
            <w:pPr>
              <w:pStyle w:val="912"/>
              <w:jc w:val="both"/>
              <w:rPr>
                <w:strike/>
                <w:color w:val="ff0000"/>
                <w:highlight w:val="none"/>
              </w:rPr>
            </w:pPr>
            <w:r>
              <w:rPr>
                <w:highlight w:val="none"/>
              </w:rPr>
              <w:t xml:space="preserve">Требование не установлено.</w:t>
            </w:r>
            <w:r>
              <w:rPr>
                <w:strike/>
                <w:color w:val="ff0000"/>
                <w:highlight w:val="none"/>
              </w:rPr>
            </w:r>
            <w:r>
              <w:rPr>
                <w:strike/>
                <w:color w:val="ff0000"/>
                <w:highlight w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4"/>
        </w:trPr>
        <w:tc>
          <w:tcPr>
            <w:tcBorders>
              <w:top w:val="single" w:color="000000" w:sz="4" w:space="0"/>
            </w:tcBorders>
            <w:tcW w:w="3510" w:type="dxa"/>
            <w:vAlign w:val="top"/>
            <w:textDirection w:val="lrTb"/>
            <w:noWrap w:val="false"/>
          </w:tcPr>
          <w:p>
            <w:pPr>
              <w:pStyle w:val="912"/>
              <w:rPr>
                <w:strike/>
                <w:color w:val="ff0000"/>
                <w:highlight w:val="none"/>
              </w:rPr>
            </w:pPr>
            <w:r>
              <w:rPr>
                <w:highlight w:val="none"/>
              </w:rPr>
              <w:t xml:space="preserve"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</w:t>
            </w:r>
            <w:hyperlink w:tooltip="ПЕРЕЧЕНЬ" w:anchor="P661" w:history="1">
              <w:r>
                <w:rPr>
                  <w:highlight w:val="none"/>
                </w:rPr>
                <w:t xml:space="preserve">приложению N 2</w:t>
              </w:r>
            </w:hyperlink>
            <w:r>
              <w:rPr>
                <w:highlight w:val="none"/>
              </w:rPr>
              <w:t xml:space="preserve">.</w:t>
            </w:r>
            <w:r>
              <w:rPr>
                <w:strike/>
                <w:color w:val="ff0000"/>
                <w:highlight w:val="none"/>
              </w:rPr>
            </w:r>
            <w:r>
              <w:rPr>
                <w:strike/>
                <w:color w:val="ff0000"/>
                <w:highlight w:val="none"/>
              </w:rPr>
            </w:r>
          </w:p>
        </w:tc>
        <w:tc>
          <w:tcPr>
            <w:tcBorders>
              <w:top w:val="single" w:color="000000" w:sz="4" w:space="0"/>
            </w:tcBorders>
            <w:tcW w:w="6379" w:type="dxa"/>
            <w:vAlign w:val="center"/>
            <w:textDirection w:val="lrTb"/>
            <w:noWrap w:val="false"/>
          </w:tcPr>
          <w:p>
            <w:pPr>
              <w:pStyle w:val="912"/>
              <w:jc w:val="both"/>
              <w:rPr>
                <w:strike/>
                <w:color w:val="ff0000"/>
                <w:highlight w:val="none"/>
              </w:rPr>
            </w:pPr>
            <w:r>
              <w:rPr>
                <w:highlight w:val="none"/>
              </w:rPr>
              <w:t xml:space="preserve">Требование не установлено.</w:t>
            </w:r>
            <w:r>
              <w:rPr>
                <w:strike/>
                <w:color w:val="ff0000"/>
                <w:highlight w:val="none"/>
              </w:rPr>
            </w:r>
            <w:r>
              <w:rPr>
                <w:strike/>
                <w:color w:val="ff0000"/>
                <w:highlight w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95"/>
        </w:trPr>
        <w:tc>
          <w:tcPr>
            <w:tcBorders>
              <w:top w:val="single" w:color="000000" w:sz="4" w:space="0"/>
            </w:tcBorders>
            <w:tcW w:w="3510" w:type="dxa"/>
            <w:vAlign w:val="center"/>
            <w:textDirection w:val="lrTb"/>
            <w:noWrap w:val="false"/>
          </w:tcPr>
          <w:p>
            <w:pPr>
              <w:pStyle w:val="912"/>
              <w:rPr>
                <w:strike/>
                <w:color w:val="ff0000"/>
                <w:highlight w:val="none"/>
              </w:rPr>
            </w:pPr>
            <w:r>
              <w:rPr>
                <w:highlight w:val="none"/>
              </w:rPr>
      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услуг).</w:t>
            </w:r>
            <w:r>
              <w:rPr>
                <w:strike/>
                <w:color w:val="ff0000"/>
                <w:highlight w:val="none"/>
              </w:rPr>
            </w:r>
            <w:r>
              <w:rPr>
                <w:strike/>
                <w:color w:val="ff0000"/>
                <w:highlight w:val="none"/>
              </w:rPr>
            </w:r>
          </w:p>
        </w:tc>
        <w:tc>
          <w:tcPr>
            <w:tcBorders>
              <w:top w:val="single" w:color="000000" w:sz="4" w:space="0"/>
            </w:tcBorders>
            <w:tcW w:w="6379" w:type="dxa"/>
            <w:vAlign w:val="center"/>
            <w:textDirection w:val="lrTb"/>
            <w:noWrap w:val="false"/>
          </w:tcPr>
          <w:p>
            <w:pPr>
              <w:pStyle w:val="912"/>
              <w:jc w:val="both"/>
              <w:rPr>
                <w:strike/>
                <w:color w:val="ff0000"/>
                <w:highlight w:val="none"/>
              </w:rPr>
            </w:pPr>
            <w:r>
              <w:rPr>
                <w:highlight w:val="none"/>
              </w:rPr>
              <w:t xml:space="preserve">Требование не установлено.</w:t>
            </w:r>
            <w:r>
              <w:rPr>
                <w:strike/>
                <w:color w:val="ff0000"/>
                <w:highlight w:val="none"/>
              </w:rPr>
            </w:r>
            <w:r>
              <w:rPr>
                <w:strike/>
                <w:color w:val="ff0000"/>
                <w:highlight w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11"/>
        </w:trPr>
        <w:tc>
          <w:tcPr>
            <w:tcW w:w="3510" w:type="dxa"/>
            <w:vAlign w:val="center"/>
            <w:textDirection w:val="lrTb"/>
            <w:noWrap w:val="false"/>
          </w:tcPr>
          <w:p>
            <w:pPr>
              <w:pStyle w:val="867"/>
              <w:framePr w:hSpace="180" w:wrap="around" w:vAnchor="page" w:hAnchor="margin" w:xAlign="center" w:y="710"/>
            </w:pPr>
            <w:r>
              <w:t xml:space="preserve">Разъяснение положений закупочной документации</w:t>
            </w:r>
            <w:r/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867"/>
              <w:jc w:val="both"/>
              <w:framePr w:hSpace="180" w:wrap="around" w:vAnchor="page" w:hAnchor="margin" w:xAlign="center" w:y="710"/>
            </w:pPr>
            <w:r>
              <w:t xml:space="preserve">Любой участник закупки вправе направить Заказчику (Организатору закупки) в порядке, предусмот</w:t>
            </w:r>
            <w:r>
              <w:t xml:space="preserve">ренном Законом 223-ФЗ и документацией о закупке, запрос о даче разъяснений положений извещения о закупке и (или) документации о закупке. При проведении закупки в электронной форме запрос направляется участником посредством функционала электронной площадки.</w:t>
            </w:r>
            <w:r/>
          </w:p>
          <w:p>
            <w:pPr>
              <w:pStyle w:val="867"/>
              <w:framePr w:hSpace="180" w:wrap="around" w:vAnchor="page" w:hAnchor="margin" w:xAlign="center" w:y="710"/>
            </w:pPr>
            <w:r/>
            <w:r/>
          </w:p>
          <w:p>
            <w:pPr>
              <w:pStyle w:val="867"/>
              <w:jc w:val="both"/>
              <w:framePr w:hSpace="180" w:wrap="around" w:vAnchor="page" w:hAnchor="margin" w:xAlign="center" w:y="710"/>
            </w:pPr>
            <w:r>
              <w:t xml:space="preserve">Более подробная информация о порядке направления участниками запросов о даче разъяснений содержится в документации о закупке.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9"/>
        </w:trPr>
        <w:tc>
          <w:tcPr>
            <w:tcW w:w="3510" w:type="dxa"/>
            <w:vAlign w:val="center"/>
            <w:textDirection w:val="lrTb"/>
            <w:noWrap w:val="false"/>
          </w:tcPr>
          <w:p>
            <w:pPr>
              <w:pStyle w:val="867"/>
              <w:framePr w:hSpace="180" w:wrap="around" w:vAnchor="page" w:hAnchor="margin" w:xAlign="center" w:y="710"/>
            </w:pPr>
            <w:r>
              <w:t xml:space="preserve">Адрес электронной площадки в информационно-телекоммуникационной сети «Интернет»</w:t>
            </w:r>
            <w:r/>
          </w:p>
        </w:tc>
        <w:tc>
          <w:tcPr>
            <w:tcW w:w="6379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framePr w:hSpace="180" w:wrap="around" w:vAnchor="page" w:hAnchor="margin" w:xAlign="center" w:y="710"/>
            </w:pPr>
            <w:r/>
            <w:r/>
          </w:p>
          <w:p>
            <w:pPr>
              <w:pStyle w:val="867"/>
              <w:jc w:val="both"/>
              <w:framePr w:hSpace="180" w:wrap="around" w:vAnchor="page" w:hAnchor="margin" w:xAlign="center" w:y="710"/>
            </w:pPr>
            <w:r>
              <w:rPr>
                <w:rStyle w:val="887"/>
              </w:rPr>
              <w:t xml:space="preserve">https://tender.lot-online.ru/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434"/>
        </w:trPr>
        <w:tc>
          <w:tcPr>
            <w:tcW w:w="3510" w:type="dxa"/>
            <w:vAlign w:val="center"/>
            <w:textDirection w:val="lrTb"/>
            <w:noWrap w:val="false"/>
          </w:tcPr>
          <w:p>
            <w:pPr>
              <w:pStyle w:val="867"/>
              <w:framePr w:hSpace="180" w:wrap="around" w:vAnchor="page" w:hAnchor="margin" w:xAlign="center" w:y="710"/>
            </w:pPr>
            <w:r>
              <w:t xml:space="preserve">Обеспечение заявок на участие в закупке</w:t>
            </w:r>
            <w:r/>
          </w:p>
          <w:p>
            <w:pPr>
              <w:pStyle w:val="867"/>
              <w:framePr w:hSpace="180" w:wrap="around" w:vAnchor="page" w:hAnchor="margin" w:xAlign="center" w:y="710"/>
            </w:pPr>
            <w:r>
              <w:t xml:space="preserve">Размер, </w:t>
            </w:r>
            <w:r>
              <w:t xml:space="preserve">порядок предоставления обеспечения </w:t>
            </w:r>
            <w:r>
              <w:t xml:space="preserve">заявок на участие в закупке</w:t>
            </w:r>
            <w:r/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867"/>
              <w:jc w:val="both"/>
              <w:framePr w:hSpace="180" w:wrap="around" w:vAnchor="page" w:hAnchor="margin" w:xAlign="center" w:y="710"/>
            </w:pPr>
            <w:r>
              <w:t xml:space="preserve">Требование не установлено.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56"/>
        </w:trPr>
        <w:tc>
          <w:tcPr>
            <w:tcW w:w="3510" w:type="dxa"/>
            <w:vAlign w:val="center"/>
            <w:textDirection w:val="lrTb"/>
            <w:noWrap w:val="false"/>
          </w:tcPr>
          <w:p>
            <w:pPr>
              <w:pStyle w:val="867"/>
              <w:rPr>
                <w:lang w:eastAsia="en-US"/>
              </w:rPr>
              <w:framePr w:hSpace="180" w:wrap="around" w:vAnchor="page" w:hAnchor="margin" w:xAlign="center" w:y="710"/>
            </w:pPr>
            <w:r>
              <w:rPr>
                <w:lang w:eastAsia="en-US"/>
              </w:rPr>
              <w:t xml:space="preserve">Обеспечение исполнения договора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867"/>
              <w:rPr>
                <w:lang w:eastAsia="en-US"/>
              </w:rPr>
              <w:framePr w:hSpace="180" w:wrap="around" w:vAnchor="page" w:hAnchor="margin" w:xAlign="center" w:y="710"/>
            </w:pPr>
            <w:r>
              <w:rPr>
                <w:lang w:eastAsia="en-US"/>
              </w:rPr>
              <w:t xml:space="preserve">Размер, порядок предоставления  обеспечения  исполнения договора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867"/>
              <w:jc w:val="both"/>
            </w:pPr>
            <w:r>
              <w:t xml:space="preserve">Требование не установлено</w:t>
            </w:r>
            <w:r>
              <w:t xml:space="preserve">. 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59"/>
        </w:trPr>
        <w:tc>
          <w:tcPr>
            <w:tcW w:w="3510" w:type="dxa"/>
            <w:vAlign w:val="center"/>
            <w:textDirection w:val="lrTb"/>
            <w:noWrap w:val="false"/>
          </w:tcPr>
          <w:p>
            <w:pPr>
              <w:pStyle w:val="867"/>
              <w:rPr>
                <w:lang w:eastAsia="en-US"/>
              </w:rPr>
              <w:framePr w:hSpace="180" w:wrap="around" w:vAnchor="page" w:hAnchor="margin" w:xAlign="center" w:y="710"/>
            </w:pPr>
            <w:r>
              <w:rPr>
                <w:lang w:eastAsia="en-US"/>
              </w:rPr>
              <w:t xml:space="preserve">Отказ от проведения запроса предложений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867"/>
              <w:jc w:val="both"/>
              <w:rPr>
                <w:lang w:eastAsia="en-US"/>
              </w:rPr>
              <w:framePr w:hSpace="180" w:wrap="around" w:vAnchor="page" w:hAnchor="margin" w:xAlign="center" w:y="710"/>
            </w:pPr>
            <w:r>
              <w:rPr>
                <w:lang w:eastAsia="en-US"/>
              </w:rPr>
              <w:t xml:space="preserve">Заказчик вправе отказаться  от проведения закупки после объявления по одному и более предмету закупки (лоту) до наступления даты и времени окончания срока подачи заявок на участие в конкурентной закупке.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66"/>
        </w:trPr>
        <w:tc>
          <w:tcPr>
            <w:tcW w:w="3510" w:type="dxa"/>
            <w:vAlign w:val="center"/>
            <w:textDirection w:val="lrTb"/>
            <w:noWrap w:val="false"/>
          </w:tcPr>
          <w:p>
            <w:pPr>
              <w:pStyle w:val="867"/>
              <w:rPr>
                <w:lang w:eastAsia="en-US"/>
              </w:rPr>
              <w:framePr w:hSpace="180" w:wrap="around" w:vAnchor="page" w:hAnchor="margin" w:xAlign="center" w:y="710"/>
            </w:pPr>
            <w:r>
              <w:rPr>
                <w:lang w:eastAsia="en-US"/>
              </w:rPr>
              <w:t xml:space="preserve">Иная информация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6379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framePr w:hSpace="180" w:wrap="around" w:vAnchor="page" w:hAnchor="margin" w:xAlign="center" w:y="710"/>
            </w:pPr>
            <w:r>
              <w:t xml:space="preserve">Остальные и более подробные условия запроса предложений содержатся в докуме</w:t>
            </w:r>
            <w:r>
              <w:t xml:space="preserve">н</w:t>
            </w:r>
            <w:r>
              <w:t xml:space="preserve">тации о закупке, являющейся неотъемлемым приложением к данному Извещению.</w:t>
            </w:r>
            <w:r/>
          </w:p>
        </w:tc>
      </w:tr>
    </w:tbl>
    <w:p>
      <w:pPr>
        <w:jc w:val="both"/>
      </w:pPr>
      <w:r>
        <w:rPr>
          <w:highlight w:val="none"/>
        </w:rPr>
      </w:r>
      <w:r>
        <w:rPr>
          <w:highlight w:val="none"/>
        </w:rPr>
      </w:r>
      <w:r/>
    </w:p>
    <w:p>
      <w:pPr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highlight w:val="none"/>
        </w:rPr>
      </w:pPr>
      <w:r>
        <w:t xml:space="preserve">Председатель закупочной комиссии -</w:t>
      </w:r>
      <w:r>
        <w:rPr>
          <w:highlight w:val="none"/>
        </w:rPr>
      </w:r>
    </w:p>
    <w:p>
      <w:pPr>
        <w:jc w:val="both"/>
        <w:tabs>
          <w:tab w:val="left" w:pos="7371" w:leader="none"/>
          <w:tab w:val="left" w:pos="7513" w:leader="none"/>
          <w:tab w:val="left" w:pos="7797" w:leader="none"/>
        </w:tabs>
      </w:pPr>
      <w:r>
        <w:t xml:space="preserve">Исполняющий обязанности начальника департамента</w:t>
      </w:r>
      <w:r/>
    </w:p>
    <w:p>
      <w:pPr>
        <w:jc w:val="both"/>
        <w:tabs>
          <w:tab w:val="left" w:pos="7371" w:leader="none"/>
          <w:tab w:val="left" w:pos="7513" w:leader="none"/>
          <w:tab w:val="left" w:pos="7797" w:leader="none"/>
        </w:tabs>
      </w:pPr>
      <w:r>
        <w:t xml:space="preserve">логистики и МТО ПАО «Россети Ленэнерго»        </w:t>
      </w:r>
      <w:r>
        <w:tab/>
        <w:t xml:space="preserve">       Н.Н. Парфенов</w:t>
      </w:r>
      <w:r/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r>
        <w:t xml:space="preserve">Ответственный секретарь -</w:t>
      </w:r>
      <w:r/>
    </w:p>
    <w:tbl>
      <w:tblPr>
        <w:tblW w:w="10284" w:type="dxa"/>
        <w:tblLook w:val="04A0" w:firstRow="1" w:lastRow="0" w:firstColumn="1" w:lastColumn="0" w:noHBand="0" w:noVBand="1"/>
      </w:tblPr>
      <w:tblGrid>
        <w:gridCol w:w="4786"/>
        <w:gridCol w:w="2167"/>
        <w:gridCol w:w="333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6" w:type="dxa"/>
            <w:textDirection w:val="lrTb"/>
            <w:noWrap w:val="false"/>
          </w:tcPr>
          <w:p>
            <w:pPr>
              <w:jc w:val="both"/>
            </w:pPr>
            <w:r>
              <w:t xml:space="preserve">Главный специалист отдела подготовки </w:t>
            </w:r>
            <w:r/>
          </w:p>
          <w:p>
            <w:pPr>
              <w:jc w:val="both"/>
            </w:pPr>
            <w:r>
              <w:t xml:space="preserve">и проведения конкурсов </w:t>
            </w:r>
            <w:r/>
          </w:p>
          <w:p>
            <w:pPr>
              <w:jc w:val="both"/>
              <w:rPr>
                <w:i/>
              </w:rPr>
            </w:pPr>
            <w:r>
              <w:t xml:space="preserve">ПАО «Россети Ленэнерго»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167" w:type="dxa"/>
            <w:textDirection w:val="lrTb"/>
            <w:noWrap w:val="false"/>
          </w:tcPr>
          <w:p>
            <w:pPr>
              <w:jc w:val="center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331" w:type="dxa"/>
            <w:textDirection w:val="lrTb"/>
            <w:noWrap w:val="false"/>
          </w:tcPr>
          <w:p>
            <w:pPr>
              <w:jc w:val="both"/>
            </w:pPr>
            <w:r/>
            <w:r/>
          </w:p>
          <w:p>
            <w:pPr>
              <w:jc w:val="both"/>
              <w:rPr>
                <w:i/>
              </w:rPr>
            </w:pPr>
            <w:r>
              <w:t xml:space="preserve">              А.О. Салей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</w:tbl>
    <w:p>
      <w:pPr>
        <w:pStyle w:val="867"/>
        <w:jc w:val="both"/>
        <w:rPr>
          <w:sz w:val="30"/>
          <w:szCs w:val="30"/>
        </w:rPr>
      </w:pPr>
      <w:r>
        <w:rPr>
          <w:sz w:val="30"/>
          <w:szCs w:val="30"/>
        </w:rPr>
      </w:r>
      <w:r>
        <w:rPr>
          <w:sz w:val="30"/>
          <w:szCs w:val="30"/>
        </w:rPr>
      </w:r>
      <w:r>
        <w:rPr>
          <w:sz w:val="30"/>
          <w:szCs w:val="30"/>
        </w:rPr>
      </w:r>
    </w:p>
    <w:sectPr>
      <w:footerReference w:type="default" r:id="rId9"/>
      <w:footnotePr/>
      <w:endnotePr/>
      <w:type w:val="nextPage"/>
      <w:pgSz w:w="11906" w:h="16838" w:orient="portrait"/>
      <w:pgMar w:top="988" w:right="850" w:bottom="993" w:left="1701" w:header="708" w:footer="223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</w:font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1"/>
      <w:jc w:val="center"/>
      <w:rPr>
        <w:rFonts w:ascii="Times" w:hAnsi="Times"/>
      </w:rPr>
    </w:pPr>
    <w:r>
      <w:rPr>
        <w:rFonts w:ascii="Times" w:hAnsi="Times"/>
      </w:rPr>
      <w:t xml:space="preserve">Страница </w:t>
    </w:r>
    <w:r>
      <w:rPr>
        <w:rFonts w:ascii="Times" w:hAnsi="Times"/>
      </w:rPr>
      <w:fldChar w:fldCharType="begin"/>
    </w:r>
    <w:r>
      <w:rPr>
        <w:rFonts w:ascii="Times" w:hAnsi="Times"/>
      </w:rPr>
      <w:instrText xml:space="preserve">PAGE</w:instrText>
    </w:r>
    <w:r>
      <w:rPr>
        <w:rFonts w:ascii="Times" w:hAnsi="Times"/>
      </w:rPr>
      <w:fldChar w:fldCharType="separate"/>
    </w:r>
    <w:r>
      <w:rPr>
        <w:rFonts w:ascii="Times" w:hAnsi="Times"/>
      </w:rPr>
      <w:t xml:space="preserve">5</w:t>
    </w:r>
    <w:r>
      <w:rPr>
        <w:rFonts w:ascii="Times" w:hAnsi="Times"/>
      </w:rPr>
      <w:fldChar w:fldCharType="end"/>
    </w:r>
    <w:r>
      <w:rPr>
        <w:rFonts w:ascii="Times" w:hAnsi="Times"/>
      </w:rPr>
      <w:t xml:space="preserve"> из </w:t>
    </w:r>
    <w:r>
      <w:rPr>
        <w:rFonts w:ascii="Times" w:hAnsi="Times"/>
      </w:rPr>
      <w:fldChar w:fldCharType="begin"/>
    </w:r>
    <w:r>
      <w:rPr>
        <w:rFonts w:ascii="Times" w:hAnsi="Times"/>
      </w:rPr>
      <w:instrText xml:space="preserve">NUMPAGES</w:instrText>
    </w:r>
    <w:r>
      <w:rPr>
        <w:rFonts w:ascii="Times" w:hAnsi="Times"/>
      </w:rPr>
      <w:fldChar w:fldCharType="separate"/>
    </w:r>
    <w:r>
      <w:rPr>
        <w:rFonts w:ascii="Times" w:hAnsi="Times"/>
      </w:rPr>
      <w:t xml:space="preserve">5</w:t>
    </w:r>
    <w:r>
      <w:rPr>
        <w:rFonts w:ascii="Times" w:hAnsi="Times"/>
      </w:rPr>
      <w:fldChar w:fldCharType="end"/>
    </w:r>
    <w:r>
      <w:rPr>
        <w:rFonts w:ascii="Times" w:hAnsi="Times"/>
      </w:rPr>
    </w:r>
    <w:r>
      <w:rPr>
        <w:rFonts w:ascii="Times" w:hAnsi="Times"/>
      </w:rPr>
    </w:r>
  </w:p>
  <w:p>
    <w:pPr>
      <w:pStyle w:val="90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9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1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3" w:hanging="180"/>
      </w:pPr>
    </w:lvl>
    <w:lvl w:ilvl="3">
      <w:start w:val="1"/>
      <w:numFmt w:val="decimal"/>
      <w:pStyle w:val="893"/>
      <w:isLgl w:val="false"/>
      <w:suff w:val="tab"/>
      <w:lvlText w:val="%4."/>
      <w:lvlJc w:val="left"/>
      <w:pPr>
        <w:ind w:left="25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3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pStyle w:val="869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pStyle w:val="870"/>
      <w:isLgl w:val="false"/>
      <w:suff w:val="tab"/>
      <w:lvlText w:val="%1.%2.%3.%4"/>
      <w:lvlJc w:val="left"/>
      <w:pPr>
        <w:ind w:left="1664" w:hanging="864"/>
        <w:tabs>
          <w:tab w:val="num" w:pos="1664" w:leader="none"/>
        </w:tabs>
      </w:pPr>
    </w:lvl>
    <w:lvl w:ilvl="4">
      <w:start w:val="1"/>
      <w:numFmt w:val="decimal"/>
      <w:pStyle w:val="871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pStyle w:val="872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pStyle w:val="873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pStyle w:val="874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pStyle w:val="875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</w:pPr>
      <w:rPr>
        <w:rFonts w:ascii="Symbol" w:hAnsi="Symbol"/>
        <w:strike w:val="0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pStyle w:val="894"/>
      <w:isLgl w:val="false"/>
      <w:suff w:val="tab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9">
    <w:name w:val="Heading 1"/>
    <w:basedOn w:val="867"/>
    <w:next w:val="867"/>
    <w:link w:val="69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0">
    <w:name w:val="Heading 1 Char"/>
    <w:link w:val="689"/>
    <w:uiPriority w:val="9"/>
    <w:rPr>
      <w:rFonts w:ascii="Arial" w:hAnsi="Arial" w:eastAsia="Arial" w:cs="Arial"/>
      <w:sz w:val="40"/>
      <w:szCs w:val="40"/>
    </w:rPr>
  </w:style>
  <w:style w:type="paragraph" w:styleId="691">
    <w:name w:val="Heading 2"/>
    <w:basedOn w:val="867"/>
    <w:next w:val="867"/>
    <w:link w:val="69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2">
    <w:name w:val="Heading 2 Char"/>
    <w:link w:val="691"/>
    <w:uiPriority w:val="9"/>
    <w:rPr>
      <w:rFonts w:ascii="Arial" w:hAnsi="Arial" w:eastAsia="Arial" w:cs="Arial"/>
      <w:sz w:val="34"/>
    </w:rPr>
  </w:style>
  <w:style w:type="paragraph" w:styleId="693">
    <w:name w:val="Heading 3"/>
    <w:basedOn w:val="867"/>
    <w:next w:val="867"/>
    <w:link w:val="69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4">
    <w:name w:val="Heading 3 Char"/>
    <w:link w:val="693"/>
    <w:uiPriority w:val="9"/>
    <w:rPr>
      <w:rFonts w:ascii="Arial" w:hAnsi="Arial" w:eastAsia="Arial" w:cs="Arial"/>
      <w:sz w:val="30"/>
      <w:szCs w:val="30"/>
    </w:rPr>
  </w:style>
  <w:style w:type="paragraph" w:styleId="695">
    <w:name w:val="Heading 4"/>
    <w:basedOn w:val="867"/>
    <w:next w:val="867"/>
    <w:link w:val="69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6">
    <w:name w:val="Heading 4 Char"/>
    <w:link w:val="695"/>
    <w:uiPriority w:val="9"/>
    <w:rPr>
      <w:rFonts w:ascii="Arial" w:hAnsi="Arial" w:eastAsia="Arial" w:cs="Arial"/>
      <w:b/>
      <w:bCs/>
      <w:sz w:val="26"/>
      <w:szCs w:val="26"/>
    </w:rPr>
  </w:style>
  <w:style w:type="paragraph" w:styleId="697">
    <w:name w:val="Heading 5"/>
    <w:basedOn w:val="867"/>
    <w:next w:val="867"/>
    <w:link w:val="69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8">
    <w:name w:val="Heading 5 Char"/>
    <w:link w:val="697"/>
    <w:uiPriority w:val="9"/>
    <w:rPr>
      <w:rFonts w:ascii="Arial" w:hAnsi="Arial" w:eastAsia="Arial" w:cs="Arial"/>
      <w:b/>
      <w:bCs/>
      <w:sz w:val="24"/>
      <w:szCs w:val="24"/>
    </w:rPr>
  </w:style>
  <w:style w:type="paragraph" w:styleId="699">
    <w:name w:val="Heading 6"/>
    <w:basedOn w:val="867"/>
    <w:next w:val="867"/>
    <w:link w:val="70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0">
    <w:name w:val="Heading 6 Char"/>
    <w:link w:val="699"/>
    <w:uiPriority w:val="9"/>
    <w:rPr>
      <w:rFonts w:ascii="Arial" w:hAnsi="Arial" w:eastAsia="Arial" w:cs="Arial"/>
      <w:b/>
      <w:bCs/>
      <w:sz w:val="22"/>
      <w:szCs w:val="22"/>
    </w:rPr>
  </w:style>
  <w:style w:type="paragraph" w:styleId="701">
    <w:name w:val="Heading 7"/>
    <w:basedOn w:val="867"/>
    <w:next w:val="867"/>
    <w:link w:val="70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2">
    <w:name w:val="Heading 7 Char"/>
    <w:link w:val="7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3">
    <w:name w:val="Heading 8"/>
    <w:basedOn w:val="867"/>
    <w:next w:val="867"/>
    <w:link w:val="70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4">
    <w:name w:val="Heading 8 Char"/>
    <w:link w:val="703"/>
    <w:uiPriority w:val="9"/>
    <w:rPr>
      <w:rFonts w:ascii="Arial" w:hAnsi="Arial" w:eastAsia="Arial" w:cs="Arial"/>
      <w:i/>
      <w:iCs/>
      <w:sz w:val="22"/>
      <w:szCs w:val="22"/>
    </w:rPr>
  </w:style>
  <w:style w:type="paragraph" w:styleId="705">
    <w:name w:val="Heading 9"/>
    <w:basedOn w:val="867"/>
    <w:next w:val="867"/>
    <w:link w:val="70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6">
    <w:name w:val="Heading 9 Char"/>
    <w:link w:val="705"/>
    <w:uiPriority w:val="9"/>
    <w:rPr>
      <w:rFonts w:ascii="Arial" w:hAnsi="Arial" w:eastAsia="Arial" w:cs="Arial"/>
      <w:i/>
      <w:iCs/>
      <w:sz w:val="21"/>
      <w:szCs w:val="21"/>
    </w:rPr>
  </w:style>
  <w:style w:type="paragraph" w:styleId="707">
    <w:name w:val="List Paragraph"/>
    <w:basedOn w:val="867"/>
    <w:uiPriority w:val="34"/>
    <w:qFormat/>
    <w:pPr>
      <w:contextualSpacing/>
      <w:ind w:left="720"/>
    </w:pPr>
  </w:style>
  <w:style w:type="paragraph" w:styleId="708">
    <w:name w:val="No Spacing"/>
    <w:uiPriority w:val="1"/>
    <w:qFormat/>
    <w:pPr>
      <w:spacing w:before="0" w:after="0" w:line="240" w:lineRule="auto"/>
    </w:pPr>
  </w:style>
  <w:style w:type="paragraph" w:styleId="709">
    <w:name w:val="Title"/>
    <w:basedOn w:val="867"/>
    <w:next w:val="867"/>
    <w:link w:val="71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0">
    <w:name w:val="Title Char"/>
    <w:link w:val="709"/>
    <w:uiPriority w:val="10"/>
    <w:rPr>
      <w:sz w:val="48"/>
      <w:szCs w:val="48"/>
    </w:rPr>
  </w:style>
  <w:style w:type="paragraph" w:styleId="711">
    <w:name w:val="Subtitle"/>
    <w:basedOn w:val="867"/>
    <w:next w:val="867"/>
    <w:link w:val="712"/>
    <w:uiPriority w:val="11"/>
    <w:qFormat/>
    <w:pPr>
      <w:spacing w:before="200" w:after="200"/>
    </w:pPr>
    <w:rPr>
      <w:sz w:val="24"/>
      <w:szCs w:val="24"/>
    </w:rPr>
  </w:style>
  <w:style w:type="character" w:styleId="712">
    <w:name w:val="Subtitle Char"/>
    <w:link w:val="711"/>
    <w:uiPriority w:val="11"/>
    <w:rPr>
      <w:sz w:val="24"/>
      <w:szCs w:val="24"/>
    </w:rPr>
  </w:style>
  <w:style w:type="paragraph" w:styleId="713">
    <w:name w:val="Quote"/>
    <w:basedOn w:val="867"/>
    <w:next w:val="867"/>
    <w:link w:val="714"/>
    <w:uiPriority w:val="29"/>
    <w:qFormat/>
    <w:pPr>
      <w:ind w:left="720" w:right="720"/>
    </w:pPr>
    <w:rPr>
      <w:i/>
    </w:rPr>
  </w:style>
  <w:style w:type="character" w:styleId="714">
    <w:name w:val="Quote Char"/>
    <w:link w:val="713"/>
    <w:uiPriority w:val="29"/>
    <w:rPr>
      <w:i/>
    </w:rPr>
  </w:style>
  <w:style w:type="paragraph" w:styleId="715">
    <w:name w:val="Intense Quote"/>
    <w:basedOn w:val="867"/>
    <w:next w:val="867"/>
    <w:link w:val="71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6">
    <w:name w:val="Intense Quote Char"/>
    <w:link w:val="715"/>
    <w:uiPriority w:val="30"/>
    <w:rPr>
      <w:i/>
    </w:rPr>
  </w:style>
  <w:style w:type="paragraph" w:styleId="717">
    <w:name w:val="Header"/>
    <w:basedOn w:val="867"/>
    <w:link w:val="71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8">
    <w:name w:val="Header Char"/>
    <w:link w:val="717"/>
    <w:uiPriority w:val="99"/>
  </w:style>
  <w:style w:type="paragraph" w:styleId="719">
    <w:name w:val="Footer"/>
    <w:basedOn w:val="867"/>
    <w:link w:val="72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0">
    <w:name w:val="Footer Char"/>
    <w:link w:val="719"/>
    <w:uiPriority w:val="99"/>
  </w:style>
  <w:style w:type="paragraph" w:styleId="721">
    <w:name w:val="Caption"/>
    <w:basedOn w:val="867"/>
    <w:next w:val="867"/>
    <w:link w:val="72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2">
    <w:name w:val="Caption Char"/>
    <w:basedOn w:val="721"/>
    <w:link w:val="719"/>
    <w:uiPriority w:val="99"/>
  </w:style>
  <w:style w:type="table" w:styleId="72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9">
    <w:name w:val="Hyperlink"/>
    <w:uiPriority w:val="99"/>
    <w:unhideWhenUsed/>
    <w:rPr>
      <w:color w:val="0000ff" w:themeColor="hyperlink"/>
      <w:u w:val="single"/>
    </w:rPr>
  </w:style>
  <w:style w:type="paragraph" w:styleId="850">
    <w:name w:val="footnote text"/>
    <w:basedOn w:val="867"/>
    <w:link w:val="851"/>
    <w:uiPriority w:val="99"/>
    <w:semiHidden/>
    <w:unhideWhenUsed/>
    <w:pPr>
      <w:spacing w:after="40" w:line="240" w:lineRule="auto"/>
    </w:pPr>
    <w:rPr>
      <w:sz w:val="18"/>
    </w:rPr>
  </w:style>
  <w:style w:type="character" w:styleId="851">
    <w:name w:val="Footnote Text Char"/>
    <w:link w:val="850"/>
    <w:uiPriority w:val="99"/>
    <w:rPr>
      <w:sz w:val="18"/>
    </w:rPr>
  </w:style>
  <w:style w:type="character" w:styleId="852">
    <w:name w:val="footnote reference"/>
    <w:uiPriority w:val="99"/>
    <w:unhideWhenUsed/>
    <w:rPr>
      <w:vertAlign w:val="superscript"/>
    </w:rPr>
  </w:style>
  <w:style w:type="paragraph" w:styleId="853">
    <w:name w:val="endnote text"/>
    <w:basedOn w:val="867"/>
    <w:link w:val="854"/>
    <w:uiPriority w:val="99"/>
    <w:semiHidden/>
    <w:unhideWhenUsed/>
    <w:pPr>
      <w:spacing w:after="0" w:line="240" w:lineRule="auto"/>
    </w:pPr>
    <w:rPr>
      <w:sz w:val="20"/>
    </w:rPr>
  </w:style>
  <w:style w:type="character" w:styleId="854">
    <w:name w:val="Endnote Text Char"/>
    <w:link w:val="853"/>
    <w:uiPriority w:val="99"/>
    <w:rPr>
      <w:sz w:val="20"/>
    </w:rPr>
  </w:style>
  <w:style w:type="character" w:styleId="855">
    <w:name w:val="endnote reference"/>
    <w:uiPriority w:val="99"/>
    <w:semiHidden/>
    <w:unhideWhenUsed/>
    <w:rPr>
      <w:vertAlign w:val="superscript"/>
    </w:rPr>
  </w:style>
  <w:style w:type="paragraph" w:styleId="856">
    <w:name w:val="toc 1"/>
    <w:basedOn w:val="867"/>
    <w:next w:val="867"/>
    <w:uiPriority w:val="39"/>
    <w:unhideWhenUsed/>
    <w:pPr>
      <w:ind w:left="0" w:right="0" w:firstLine="0"/>
      <w:spacing w:after="57"/>
    </w:pPr>
  </w:style>
  <w:style w:type="paragraph" w:styleId="857">
    <w:name w:val="toc 2"/>
    <w:basedOn w:val="867"/>
    <w:next w:val="867"/>
    <w:uiPriority w:val="39"/>
    <w:unhideWhenUsed/>
    <w:pPr>
      <w:ind w:left="283" w:right="0" w:firstLine="0"/>
      <w:spacing w:after="57"/>
    </w:pPr>
  </w:style>
  <w:style w:type="paragraph" w:styleId="858">
    <w:name w:val="toc 3"/>
    <w:basedOn w:val="867"/>
    <w:next w:val="867"/>
    <w:uiPriority w:val="39"/>
    <w:unhideWhenUsed/>
    <w:pPr>
      <w:ind w:left="567" w:right="0" w:firstLine="0"/>
      <w:spacing w:after="57"/>
    </w:pPr>
  </w:style>
  <w:style w:type="paragraph" w:styleId="859">
    <w:name w:val="toc 4"/>
    <w:basedOn w:val="867"/>
    <w:next w:val="867"/>
    <w:uiPriority w:val="39"/>
    <w:unhideWhenUsed/>
    <w:pPr>
      <w:ind w:left="850" w:right="0" w:firstLine="0"/>
      <w:spacing w:after="57"/>
    </w:pPr>
  </w:style>
  <w:style w:type="paragraph" w:styleId="860">
    <w:name w:val="toc 5"/>
    <w:basedOn w:val="867"/>
    <w:next w:val="867"/>
    <w:uiPriority w:val="39"/>
    <w:unhideWhenUsed/>
    <w:pPr>
      <w:ind w:left="1134" w:right="0" w:firstLine="0"/>
      <w:spacing w:after="57"/>
    </w:pPr>
  </w:style>
  <w:style w:type="paragraph" w:styleId="861">
    <w:name w:val="toc 6"/>
    <w:basedOn w:val="867"/>
    <w:next w:val="867"/>
    <w:uiPriority w:val="39"/>
    <w:unhideWhenUsed/>
    <w:pPr>
      <w:ind w:left="1417" w:right="0" w:firstLine="0"/>
      <w:spacing w:after="57"/>
    </w:pPr>
  </w:style>
  <w:style w:type="paragraph" w:styleId="862">
    <w:name w:val="toc 7"/>
    <w:basedOn w:val="867"/>
    <w:next w:val="867"/>
    <w:uiPriority w:val="39"/>
    <w:unhideWhenUsed/>
    <w:pPr>
      <w:ind w:left="1701" w:right="0" w:firstLine="0"/>
      <w:spacing w:after="57"/>
    </w:pPr>
  </w:style>
  <w:style w:type="paragraph" w:styleId="863">
    <w:name w:val="toc 8"/>
    <w:basedOn w:val="867"/>
    <w:next w:val="867"/>
    <w:uiPriority w:val="39"/>
    <w:unhideWhenUsed/>
    <w:pPr>
      <w:ind w:left="1984" w:right="0" w:firstLine="0"/>
      <w:spacing w:after="57"/>
    </w:pPr>
  </w:style>
  <w:style w:type="paragraph" w:styleId="864">
    <w:name w:val="toc 9"/>
    <w:basedOn w:val="867"/>
    <w:next w:val="867"/>
    <w:uiPriority w:val="39"/>
    <w:unhideWhenUsed/>
    <w:pPr>
      <w:ind w:left="2268" w:right="0" w:firstLine="0"/>
      <w:spacing w:after="57"/>
    </w:pPr>
  </w:style>
  <w:style w:type="paragraph" w:styleId="865">
    <w:name w:val="TOC Heading"/>
    <w:uiPriority w:val="39"/>
    <w:unhideWhenUsed/>
  </w:style>
  <w:style w:type="paragraph" w:styleId="866">
    <w:name w:val="table of figures"/>
    <w:basedOn w:val="867"/>
    <w:next w:val="867"/>
    <w:uiPriority w:val="99"/>
    <w:unhideWhenUsed/>
    <w:pPr>
      <w:spacing w:after="0" w:afterAutospacing="0"/>
    </w:pPr>
  </w:style>
  <w:style w:type="paragraph" w:styleId="867" w:default="1">
    <w:name w:val="Normal"/>
    <w:next w:val="867"/>
    <w:link w:val="867"/>
    <w:qFormat/>
    <w:rPr>
      <w:rFonts w:ascii="Times New Roman" w:hAnsi="Times New Roman" w:eastAsia="Times New Roman"/>
      <w:sz w:val="24"/>
      <w:szCs w:val="24"/>
      <w:lang w:val="ru-RU" w:eastAsia="ru-RU" w:bidi="ar-SA"/>
    </w:rPr>
  </w:style>
  <w:style w:type="paragraph" w:styleId="868">
    <w:name w:val="Заголовок 2"/>
    <w:basedOn w:val="867"/>
    <w:next w:val="867"/>
    <w:link w:val="879"/>
    <w:uiPriority w:val="9"/>
    <w:unhideWhenUsed/>
    <w:qFormat/>
    <w:pPr>
      <w:keepNext/>
      <w:spacing w:before="240" w:after="60"/>
      <w:outlineLvl w:val="1"/>
    </w:pPr>
    <w:rPr>
      <w:rFonts w:ascii="Cambria" w:hAnsi="Cambria" w:eastAsia="Times New Roman"/>
      <w:b/>
      <w:bCs/>
      <w:i/>
      <w:iCs/>
      <w:sz w:val="28"/>
      <w:szCs w:val="28"/>
      <w:lang w:val="en-US" w:eastAsia="en-US"/>
    </w:rPr>
  </w:style>
  <w:style w:type="paragraph" w:styleId="869">
    <w:name w:val="Заголовок 3,H3,h3,Head 3,l3+toc 3,heading 3,CT,Sub-section Title,l3"/>
    <w:basedOn w:val="867"/>
    <w:next w:val="867"/>
    <w:link w:val="880"/>
    <w:qFormat/>
    <w:pPr>
      <w:numPr>
        <w:ilvl w:val="2"/>
        <w:numId w:val="1"/>
      </w:numPr>
      <w:jc w:val="both"/>
      <w:keepNext/>
      <w:spacing w:before="240" w:after="60"/>
      <w:outlineLvl w:val="2"/>
    </w:pPr>
    <w:rPr>
      <w:rFonts w:ascii="Arial" w:hAnsi="Arial" w:eastAsia="Times New Roman"/>
      <w:b/>
      <w:sz w:val="24"/>
      <w:szCs w:val="20"/>
      <w:lang w:val="en-US" w:eastAsia="ru-RU"/>
    </w:rPr>
  </w:style>
  <w:style w:type="paragraph" w:styleId="870">
    <w:name w:val="Заголовок 4,H4"/>
    <w:basedOn w:val="867"/>
    <w:next w:val="867"/>
    <w:link w:val="881"/>
    <w:qFormat/>
    <w:pPr>
      <w:numPr>
        <w:ilvl w:val="3"/>
        <w:numId w:val="1"/>
      </w:numPr>
      <w:jc w:val="both"/>
      <w:keepNext/>
      <w:spacing w:before="240" w:after="60"/>
      <w:outlineLvl w:val="3"/>
    </w:pPr>
    <w:rPr>
      <w:rFonts w:ascii="Arial" w:hAnsi="Arial" w:eastAsia="Times New Roman"/>
      <w:sz w:val="24"/>
      <w:szCs w:val="20"/>
      <w:lang w:val="en-US" w:eastAsia="ru-RU"/>
    </w:rPr>
  </w:style>
  <w:style w:type="paragraph" w:styleId="871">
    <w:name w:val="Заголовок 5,H5"/>
    <w:basedOn w:val="867"/>
    <w:next w:val="867"/>
    <w:link w:val="882"/>
    <w:qFormat/>
    <w:pPr>
      <w:numPr>
        <w:ilvl w:val="4"/>
        <w:numId w:val="1"/>
      </w:numPr>
      <w:jc w:val="both"/>
      <w:spacing w:before="240" w:after="60"/>
      <w:outlineLvl w:val="4"/>
    </w:pPr>
    <w:rPr>
      <w:rFonts w:ascii="Times New Roman" w:hAnsi="Times New Roman" w:eastAsia="Times New Roman"/>
      <w:sz w:val="20"/>
      <w:szCs w:val="20"/>
      <w:lang w:val="en-US" w:eastAsia="ru-RU"/>
    </w:rPr>
  </w:style>
  <w:style w:type="paragraph" w:styleId="872">
    <w:name w:val="Заголовок 6"/>
    <w:basedOn w:val="867"/>
    <w:next w:val="867"/>
    <w:link w:val="883"/>
    <w:qFormat/>
    <w:pPr>
      <w:numPr>
        <w:ilvl w:val="5"/>
        <w:numId w:val="1"/>
      </w:numPr>
      <w:jc w:val="both"/>
      <w:spacing w:before="240" w:after="60"/>
      <w:outlineLvl w:val="5"/>
    </w:pPr>
    <w:rPr>
      <w:rFonts w:ascii="Times New Roman" w:hAnsi="Times New Roman" w:eastAsia="Times New Roman"/>
      <w:i/>
      <w:sz w:val="20"/>
      <w:szCs w:val="20"/>
      <w:lang w:val="en-US" w:eastAsia="ru-RU"/>
    </w:rPr>
  </w:style>
  <w:style w:type="paragraph" w:styleId="873">
    <w:name w:val="Заголовок 7"/>
    <w:basedOn w:val="867"/>
    <w:next w:val="867"/>
    <w:link w:val="884"/>
    <w:qFormat/>
    <w:pPr>
      <w:numPr>
        <w:ilvl w:val="6"/>
        <w:numId w:val="1"/>
      </w:numPr>
      <w:jc w:val="both"/>
      <w:spacing w:before="240" w:after="60"/>
      <w:outlineLvl w:val="6"/>
    </w:pPr>
    <w:rPr>
      <w:rFonts w:ascii="Arial" w:hAnsi="Arial" w:eastAsia="Times New Roman"/>
      <w:sz w:val="20"/>
      <w:szCs w:val="20"/>
      <w:lang w:val="en-US" w:eastAsia="en-US"/>
    </w:rPr>
  </w:style>
  <w:style w:type="paragraph" w:styleId="874">
    <w:name w:val="Заголовок 8"/>
    <w:basedOn w:val="867"/>
    <w:next w:val="867"/>
    <w:link w:val="885"/>
    <w:qFormat/>
    <w:pPr>
      <w:numPr>
        <w:ilvl w:val="7"/>
        <w:numId w:val="1"/>
      </w:numPr>
      <w:jc w:val="both"/>
      <w:spacing w:before="240" w:after="60"/>
      <w:outlineLvl w:val="7"/>
    </w:pPr>
    <w:rPr>
      <w:rFonts w:ascii="Arial" w:hAnsi="Arial" w:eastAsia="Times New Roman"/>
      <w:i/>
      <w:sz w:val="20"/>
      <w:szCs w:val="20"/>
      <w:lang w:val="en-US" w:eastAsia="ru-RU"/>
    </w:rPr>
  </w:style>
  <w:style w:type="paragraph" w:styleId="875">
    <w:name w:val="Заголовок 9"/>
    <w:basedOn w:val="867"/>
    <w:next w:val="867"/>
    <w:link w:val="886"/>
    <w:qFormat/>
    <w:pPr>
      <w:numPr>
        <w:ilvl w:val="8"/>
        <w:numId w:val="1"/>
      </w:numPr>
      <w:jc w:val="both"/>
      <w:spacing w:before="240" w:after="60"/>
      <w:outlineLvl w:val="8"/>
    </w:pPr>
    <w:rPr>
      <w:rFonts w:ascii="Arial" w:hAnsi="Arial" w:eastAsia="Times New Roman"/>
      <w:b/>
      <w:i/>
      <w:sz w:val="18"/>
      <w:szCs w:val="20"/>
      <w:lang w:val="en-US" w:eastAsia="ru-RU"/>
    </w:rPr>
  </w:style>
  <w:style w:type="character" w:styleId="876">
    <w:name w:val="Основной шрифт абзаца"/>
    <w:next w:val="876"/>
    <w:link w:val="867"/>
    <w:uiPriority w:val="1"/>
    <w:unhideWhenUsed/>
  </w:style>
  <w:style w:type="table" w:styleId="877">
    <w:name w:val="Обычная таблица"/>
    <w:next w:val="877"/>
    <w:link w:val="867"/>
    <w:uiPriority w:val="99"/>
    <w:semiHidden/>
    <w:unhideWhenUsed/>
    <w:qFormat/>
    <w:tblPr/>
  </w:style>
  <w:style w:type="numbering" w:styleId="878">
    <w:name w:val="Нет списка"/>
    <w:next w:val="878"/>
    <w:link w:val="867"/>
    <w:uiPriority w:val="99"/>
    <w:semiHidden/>
    <w:unhideWhenUsed/>
  </w:style>
  <w:style w:type="character" w:styleId="879">
    <w:name w:val="Заголовок 2 Знак"/>
    <w:next w:val="879"/>
    <w:link w:val="868"/>
    <w:uiPriority w:val="9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80">
    <w:name w:val="Заголовок 3 Знак"/>
    <w:next w:val="880"/>
    <w:link w:val="869"/>
    <w:rPr>
      <w:rFonts w:ascii="Arial" w:hAnsi="Arial" w:eastAsia="Times New Roman"/>
      <w:b/>
      <w:sz w:val="24"/>
      <w:lang w:val="en-US"/>
    </w:rPr>
  </w:style>
  <w:style w:type="character" w:styleId="881">
    <w:name w:val="Заголовок 4 Знак"/>
    <w:next w:val="881"/>
    <w:link w:val="870"/>
    <w:rPr>
      <w:rFonts w:ascii="Arial" w:hAnsi="Arial" w:eastAsia="Times New Roman"/>
      <w:sz w:val="24"/>
      <w:lang w:val="en-US"/>
    </w:rPr>
  </w:style>
  <w:style w:type="character" w:styleId="882">
    <w:name w:val="Заголовок 5 Знак"/>
    <w:next w:val="882"/>
    <w:link w:val="871"/>
    <w:rPr>
      <w:rFonts w:ascii="Times New Roman" w:hAnsi="Times New Roman" w:eastAsia="Times New Roman"/>
      <w:lang w:val="en-US"/>
    </w:rPr>
  </w:style>
  <w:style w:type="character" w:styleId="883">
    <w:name w:val="Заголовок 6 Знак"/>
    <w:next w:val="883"/>
    <w:link w:val="872"/>
    <w:rPr>
      <w:rFonts w:ascii="Times New Roman" w:hAnsi="Times New Roman" w:eastAsia="Times New Roman"/>
      <w:i/>
      <w:lang w:val="en-US"/>
    </w:rPr>
  </w:style>
  <w:style w:type="character" w:styleId="884">
    <w:name w:val="Заголовок 7 Знак"/>
    <w:next w:val="884"/>
    <w:link w:val="873"/>
    <w:rPr>
      <w:rFonts w:ascii="Arial" w:hAnsi="Arial" w:eastAsia="Times New Roman"/>
      <w:lang w:val="en-US" w:eastAsia="en-US"/>
    </w:rPr>
  </w:style>
  <w:style w:type="character" w:styleId="885">
    <w:name w:val="Заголовок 8 Знак"/>
    <w:next w:val="885"/>
    <w:link w:val="874"/>
    <w:rPr>
      <w:rFonts w:ascii="Arial" w:hAnsi="Arial" w:eastAsia="Times New Roman"/>
      <w:i/>
      <w:lang w:val="en-US"/>
    </w:rPr>
  </w:style>
  <w:style w:type="character" w:styleId="886">
    <w:name w:val="Заголовок 9 Знак"/>
    <w:next w:val="886"/>
    <w:link w:val="875"/>
    <w:rPr>
      <w:rFonts w:ascii="Arial" w:hAnsi="Arial" w:eastAsia="Times New Roman"/>
      <w:b/>
      <w:i/>
      <w:sz w:val="18"/>
      <w:lang w:val="en-US"/>
    </w:rPr>
  </w:style>
  <w:style w:type="character" w:styleId="887">
    <w:name w:val="Гиперссылка"/>
    <w:next w:val="887"/>
    <w:link w:val="867"/>
    <w:uiPriority w:val="99"/>
    <w:rPr>
      <w:color w:val="0000ff"/>
      <w:u w:val="single"/>
    </w:rPr>
  </w:style>
  <w:style w:type="character" w:styleId="888">
    <w:name w:val="Стиль3 Знак Знак"/>
    <w:next w:val="888"/>
    <w:link w:val="889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889">
    <w:name w:val="Стиль3 Знак"/>
    <w:basedOn w:val="867"/>
    <w:next w:val="914"/>
    <w:link w:val="888"/>
    <w:pPr>
      <w:jc w:val="both"/>
      <w:spacing w:after="0" w:line="240" w:lineRule="auto"/>
      <w:widowControl w:val="off"/>
      <w:tabs>
        <w:tab w:val="num" w:pos="227" w:leader="none"/>
      </w:tabs>
    </w:pPr>
    <w:rPr>
      <w:rFonts w:ascii="Times New Roman" w:hAnsi="Times New Roman" w:eastAsia="Times New Roman"/>
      <w:sz w:val="24"/>
      <w:szCs w:val="20"/>
      <w:lang w:val="en-US" w:eastAsia="ru-RU"/>
    </w:rPr>
  </w:style>
  <w:style w:type="paragraph" w:styleId="890">
    <w:name w:val="Обычный (веб),Обычный (Web),Обычный (веб) Знак Знак,Обычный (Web) Знак Знак Знак"/>
    <w:basedOn w:val="867"/>
    <w:next w:val="890"/>
    <w:link w:val="916"/>
    <w:uiPriority w:val="99"/>
    <w:unhideWhenUsed/>
    <w:qFormat/>
    <w:pPr>
      <w:spacing w:after="24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891">
    <w:name w:val="Строгий"/>
    <w:next w:val="891"/>
    <w:link w:val="867"/>
    <w:uiPriority w:val="22"/>
    <w:qFormat/>
    <w:rPr>
      <w:b/>
      <w:bCs/>
    </w:rPr>
  </w:style>
  <w:style w:type="paragraph" w:styleId="892">
    <w:name w:val="Нумерованный список"/>
    <w:basedOn w:val="867"/>
    <w:next w:val="892"/>
    <w:link w:val="867"/>
    <w:pPr>
      <w:jc w:val="both"/>
      <w:spacing w:before="60" w:after="0" w:line="360" w:lineRule="auto"/>
    </w:pPr>
    <w:rPr>
      <w:rFonts w:ascii="Times New Roman" w:hAnsi="Times New Roman" w:eastAsia="Times New Roman"/>
      <w:sz w:val="28"/>
      <w:szCs w:val="24"/>
      <w:lang w:eastAsia="ru-RU"/>
    </w:rPr>
  </w:style>
  <w:style w:type="paragraph" w:styleId="893">
    <w:name w:val="Подпункт"/>
    <w:basedOn w:val="867"/>
    <w:next w:val="893"/>
    <w:link w:val="867"/>
    <w:pPr>
      <w:numPr>
        <w:ilvl w:val="3"/>
        <w:numId w:val="3"/>
      </w:numPr>
      <w:jc w:val="both"/>
      <w:spacing w:line="360" w:lineRule="auto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894">
    <w:name w:val="Подподпункт"/>
    <w:basedOn w:val="867"/>
    <w:next w:val="894"/>
    <w:link w:val="897"/>
    <w:uiPriority w:val="99"/>
    <w:pPr>
      <w:numPr>
        <w:ilvl w:val="4"/>
        <w:numId w:val="2"/>
      </w:numPr>
      <w:jc w:val="both"/>
      <w:spacing w:line="360" w:lineRule="auto"/>
    </w:pPr>
    <w:rPr>
      <w:rFonts w:ascii="Times New Roman" w:hAnsi="Times New Roman" w:eastAsia="Times New Roman"/>
      <w:sz w:val="28"/>
      <w:szCs w:val="20"/>
      <w:lang w:val="en-US" w:eastAsia="en-US"/>
    </w:rPr>
  </w:style>
  <w:style w:type="paragraph" w:styleId="895">
    <w:name w:val="Основной текст 2"/>
    <w:basedOn w:val="867"/>
    <w:next w:val="895"/>
    <w:link w:val="896"/>
    <w:pPr>
      <w:ind w:firstLine="567"/>
      <w:jc w:val="both"/>
      <w:spacing w:after="120" w:line="480" w:lineRule="auto"/>
    </w:pPr>
    <w:rPr>
      <w:rFonts w:ascii="Times New Roman" w:hAnsi="Times New Roman" w:eastAsia="Times New Roman"/>
      <w:sz w:val="28"/>
      <w:szCs w:val="20"/>
      <w:lang w:val="en-US" w:eastAsia="ru-RU"/>
    </w:rPr>
  </w:style>
  <w:style w:type="character" w:styleId="896">
    <w:name w:val="Основной текст 2 Знак"/>
    <w:next w:val="896"/>
    <w:link w:val="8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97">
    <w:name w:val="Подподпункт Знак"/>
    <w:next w:val="897"/>
    <w:link w:val="894"/>
    <w:uiPriority w:val="99"/>
    <w:rPr>
      <w:rFonts w:ascii="Times New Roman" w:hAnsi="Times New Roman" w:eastAsia="Times New Roman"/>
      <w:sz w:val="28"/>
      <w:lang w:val="en-US" w:eastAsia="en-US"/>
    </w:rPr>
  </w:style>
  <w:style w:type="character" w:styleId="898">
    <w:name w:val="комментарий"/>
    <w:next w:val="898"/>
    <w:link w:val="867"/>
    <w:uiPriority w:val="99"/>
    <w:rPr>
      <w:b/>
      <w:i/>
      <w:shd w:val="clear" w:color="auto" w:fill="ffff99"/>
    </w:rPr>
  </w:style>
  <w:style w:type="paragraph" w:styleId="899">
    <w:name w:val="Верхний колонтитул"/>
    <w:basedOn w:val="867"/>
    <w:next w:val="899"/>
    <w:link w:val="90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sz w:val="20"/>
      <w:szCs w:val="20"/>
      <w:lang w:val="en-US" w:eastAsia="en-US"/>
    </w:rPr>
  </w:style>
  <w:style w:type="character" w:styleId="900">
    <w:name w:val="Верхний колонтитул Знак"/>
    <w:next w:val="900"/>
    <w:link w:val="899"/>
    <w:uiPriority w:val="99"/>
    <w:rPr>
      <w:rFonts w:ascii="Calibri" w:hAnsi="Calibri" w:eastAsia="Calibri" w:cs="Times New Roman"/>
    </w:rPr>
  </w:style>
  <w:style w:type="paragraph" w:styleId="901">
    <w:name w:val="Нижний колонтитул"/>
    <w:basedOn w:val="867"/>
    <w:next w:val="901"/>
    <w:link w:val="90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sz w:val="20"/>
      <w:szCs w:val="20"/>
      <w:lang w:val="en-US" w:eastAsia="en-US"/>
    </w:rPr>
  </w:style>
  <w:style w:type="character" w:styleId="902">
    <w:name w:val="Нижний колонтитул Знак"/>
    <w:next w:val="902"/>
    <w:link w:val="901"/>
    <w:uiPriority w:val="99"/>
    <w:rPr>
      <w:rFonts w:ascii="Calibri" w:hAnsi="Calibri" w:eastAsia="Calibri" w:cs="Times New Roman"/>
    </w:rPr>
  </w:style>
  <w:style w:type="paragraph" w:styleId="903">
    <w:name w:val="Текст выноски"/>
    <w:basedOn w:val="867"/>
    <w:next w:val="903"/>
    <w:link w:val="904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904">
    <w:name w:val="Текст выноски Знак"/>
    <w:next w:val="904"/>
    <w:link w:val="903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905">
    <w:name w:val="Основной текст"/>
    <w:basedOn w:val="867"/>
    <w:next w:val="905"/>
    <w:link w:val="906"/>
    <w:uiPriority w:val="99"/>
    <w:unhideWhenUsed/>
    <w:pPr>
      <w:spacing w:after="120"/>
    </w:pPr>
    <w:rPr>
      <w:lang w:val="en-US"/>
    </w:rPr>
  </w:style>
  <w:style w:type="character" w:styleId="906">
    <w:name w:val="Основной текст Знак"/>
    <w:next w:val="906"/>
    <w:link w:val="905"/>
    <w:uiPriority w:val="99"/>
    <w:rPr>
      <w:sz w:val="22"/>
      <w:szCs w:val="22"/>
      <w:lang w:eastAsia="en-US"/>
    </w:rPr>
  </w:style>
  <w:style w:type="paragraph" w:styleId="907">
    <w:name w:val="Основной текст с отступом"/>
    <w:basedOn w:val="867"/>
    <w:next w:val="907"/>
    <w:link w:val="908"/>
    <w:uiPriority w:val="99"/>
    <w:semiHidden/>
    <w:unhideWhenUsed/>
    <w:pPr>
      <w:ind w:left="283"/>
      <w:spacing w:after="120"/>
    </w:pPr>
  </w:style>
  <w:style w:type="character" w:styleId="908">
    <w:name w:val="Основной текст с отступом Знак"/>
    <w:next w:val="908"/>
    <w:link w:val="907"/>
    <w:uiPriority w:val="99"/>
    <w:rPr>
      <w:sz w:val="22"/>
      <w:szCs w:val="22"/>
      <w:lang w:eastAsia="en-US"/>
    </w:rPr>
  </w:style>
  <w:style w:type="character" w:styleId="909">
    <w:name w:val="Основной текст1"/>
    <w:next w:val="909"/>
    <w:link w:val="867"/>
    <w:rPr>
      <w:rFonts w:ascii="Times New Roman" w:hAnsi="Times New Roman" w:eastAsia="Times New Roman" w:cs="Times New Roman"/>
      <w:color w:val="000000"/>
      <w:spacing w:val="0"/>
      <w:position w:val="0"/>
      <w:sz w:val="18"/>
      <w:szCs w:val="18"/>
      <w:u w:val="none"/>
      <w:shd w:val="clear" w:color="auto" w:fill="ffffff"/>
      <w:lang w:val="ru-RU"/>
    </w:rPr>
  </w:style>
  <w:style w:type="character" w:styleId="910">
    <w:name w:val="Основной текст_"/>
    <w:next w:val="910"/>
    <w:link w:val="911"/>
    <w:rPr>
      <w:sz w:val="18"/>
      <w:szCs w:val="18"/>
      <w:shd w:val="clear" w:color="auto" w:fill="ffffff"/>
    </w:rPr>
  </w:style>
  <w:style w:type="paragraph" w:styleId="911">
    <w:name w:val="Основной текст2"/>
    <w:basedOn w:val="867"/>
    <w:next w:val="911"/>
    <w:link w:val="910"/>
    <w:pPr>
      <w:ind w:firstLine="2280"/>
      <w:spacing w:after="240" w:line="235" w:lineRule="exact"/>
      <w:shd w:val="clear" w:color="auto" w:fill="ffffff"/>
      <w:widowControl w:val="off"/>
    </w:pPr>
    <w:rPr>
      <w:sz w:val="18"/>
      <w:szCs w:val="18"/>
      <w:lang w:val="en-US" w:eastAsia="en-US"/>
    </w:rPr>
  </w:style>
  <w:style w:type="paragraph" w:styleId="912">
    <w:name w:val="Default"/>
    <w:next w:val="912"/>
    <w:link w:val="867"/>
    <w:qFormat/>
    <w:rPr>
      <w:rFonts w:ascii="Times New Roman" w:hAnsi="Times New Roman" w:eastAsia="Times New Roman"/>
      <w:color w:val="000000"/>
      <w:sz w:val="24"/>
      <w:szCs w:val="24"/>
      <w:lang w:val="ru-RU" w:eastAsia="ru-RU" w:bidi="ar-SA"/>
    </w:rPr>
  </w:style>
  <w:style w:type="character" w:styleId="913">
    <w:name w:val="Просмотренная гиперссылка"/>
    <w:next w:val="913"/>
    <w:link w:val="867"/>
    <w:uiPriority w:val="99"/>
    <w:semiHidden/>
    <w:unhideWhenUsed/>
    <w:rPr>
      <w:color w:val="800080"/>
      <w:u w:val="single"/>
    </w:rPr>
  </w:style>
  <w:style w:type="paragraph" w:styleId="914">
    <w:name w:val="Абзац списка"/>
    <w:basedOn w:val="867"/>
    <w:next w:val="914"/>
    <w:link w:val="915"/>
    <w:uiPriority w:val="34"/>
    <w:qFormat/>
    <w:pPr>
      <w:contextualSpacing/>
      <w:ind w:left="720"/>
      <w:widowControl w:val="off"/>
    </w:pPr>
    <w:rPr>
      <w:rFonts w:ascii="Courier New" w:hAnsi="Courier New"/>
      <w:sz w:val="20"/>
      <w:szCs w:val="20"/>
    </w:rPr>
  </w:style>
  <w:style w:type="character" w:styleId="915">
    <w:name w:val="Абзац списка Знак"/>
    <w:next w:val="915"/>
    <w:link w:val="914"/>
    <w:uiPriority w:val="34"/>
    <w:rPr>
      <w:rFonts w:ascii="Courier New" w:hAnsi="Courier New" w:eastAsia="Times New Roman"/>
    </w:rPr>
  </w:style>
  <w:style w:type="character" w:styleId="916">
    <w:name w:val="Обычный (веб) Знак,Обычный (Web) Знак,Обычный (веб) Знак Знак Знак,Обычный (Web) Знак Знак Знак Знак"/>
    <w:next w:val="916"/>
    <w:link w:val="890"/>
    <w:uiPriority w:val="99"/>
    <w:rPr>
      <w:rFonts w:ascii="Times New Roman" w:hAnsi="Times New Roman" w:eastAsia="Times New Roman"/>
      <w:sz w:val="24"/>
      <w:szCs w:val="24"/>
    </w:rPr>
  </w:style>
  <w:style w:type="character" w:styleId="917" w:default="1">
    <w:name w:val="Default Paragraph Font"/>
    <w:uiPriority w:val="1"/>
    <w:semiHidden/>
    <w:unhideWhenUsed/>
  </w:style>
  <w:style w:type="numbering" w:styleId="918" w:default="1">
    <w:name w:val="No List"/>
    <w:uiPriority w:val="99"/>
    <w:semiHidden/>
    <w:unhideWhenUsed/>
  </w:style>
  <w:style w:type="table" w:styleId="91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LE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DIT</dc:creator>
  <cp:lastModifiedBy>salei.ao</cp:lastModifiedBy>
  <cp:revision>588</cp:revision>
  <dcterms:created xsi:type="dcterms:W3CDTF">2019-01-29T08:33:00Z</dcterms:created>
  <dcterms:modified xsi:type="dcterms:W3CDTF">2026-05-05T12:49:51Z</dcterms:modified>
  <cp:version>917504</cp:version>
</cp:coreProperties>
</file>