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header4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6.xml" ContentType="application/vnd.openxmlformats-officedocument.wordprocessingml.header+xml"/>
  <Override PartName="/word/header5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Style w:val="Style8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>
        <w:rPr>
          <w:i/>
          <w:sz w:val="26"/>
          <w:szCs w:val="26"/>
        </w:rPr>
        <w:t>ОКПД2 43.21.10.140 Выполнение проектных и строительно-монтажных работ (включая поставку материалов и оборудования) по установке системы автоматической пожарной сигнализации и системы оповещения и управления эвакуацией (АПС и СОУЭ)-1шт.  для нужд филиала АО «ДРСК» Хабаровские электрические сети в рамках инвестиционного проекта P_27-ХЭС-5845»</w:t>
      </w:r>
    </w:p>
    <w:p>
      <w:pPr>
        <w:pStyle w:val="Normal"/>
        <w:keepNext w:val="true"/>
        <w:keepLines/>
        <w:jc w:val="center"/>
        <w:rPr>
          <w:rFonts w:eastAsia="Calibri"/>
          <w:i/>
          <w:i/>
          <w:sz w:val="26"/>
          <w:szCs w:val="26"/>
        </w:rPr>
      </w:pPr>
      <w:r>
        <w:rPr>
          <w:rFonts w:eastAsia="Calibri"/>
          <w:i/>
          <w:sz w:val="26"/>
          <w:szCs w:val="26"/>
        </w:rPr>
        <w:t>Лот № 185601-КС ПРОЧ-2026-ДРСК-ХЭС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СОДЕРЖАНИЕ</w:t>
      </w:r>
    </w:p>
    <w:p>
      <w:pPr>
        <w:pStyle w:val="TOC1"/>
        <w:tabs>
          <w:tab w:val="clear" w:pos="708"/>
          <w:tab w:val="left" w:pos="567" w:leader="none"/>
          <w:tab w:val="right" w:pos="9911" w:leader="dot"/>
        </w:tabs>
        <w:rPr>
          <w:rFonts w:eastAsia="新細明體" w:cs="Times New Roman" w:eastAsiaTheme="minorEastAsia"/>
          <w:b w:val="false"/>
          <w:bCs w:val="false"/>
          <w:sz w:val="26"/>
          <w:szCs w:val="26"/>
        </w:rPr>
      </w:pPr>
      <w:hyperlink w:anchor="_Toc132038572">
        <w:r>
          <w:rPr>
            <w:rStyle w:val="Hyperlink"/>
            <w:rFonts w:cs="Times New Roman"/>
            <w:vanish/>
            <w:sz w:val="26"/>
            <w:szCs w:val="26"/>
          </w:rPr>
          <w:t>1.</w:t>
        </w:r>
      </w:hyperlink>
      <w:r>
        <w:fldChar w:fldCharType="begin"/>
      </w:r>
      <w:r>
        <w:rPr>
          <w:rStyle w:val="Style14"/>
          <w:sz w:val="24"/>
          <w:szCs w:val="24"/>
          <w:vanish/>
          <w:rFonts w:cs="Times New Roman"/>
        </w:rPr>
        <w:instrText xml:space="preserve"> HYPERLINK "../..//172.21.1.6/172.21.1.6/Investment/%C3%90%C2%92%C3%90%C2%B0%C3%91%C2%81%C3%90%C2%B8%C3%90%C2%BB%C3%91%C2%8C%C3%91%C2%87%C3%90%C2%B5%C3%90%C2%BD%C3%90%C2%BA%C3%90%C2%BE%20%C3%90%C2%AE.%C3%90%C2%9D/%C3%90%C2%97%C3%90%C2%90%C3%90%C2%9A%C3%90%C2%A3%C3%90%C2%9F%C3%90%C2%9A%C3%90%C2%98%202023/227901-%C3%90%C2%A3%C3%91%C2%81%C3%91%C2%82%C3%90%C2%B0%C3%90%C2%BD%C3%90%C2%BE%C3%90%C2%B2%C3%90%C2%BA%C3%90%C2%B0%20%C3%90%C2%91%C3%90%C2%94%C3%90%C2%97%20%C3%90%C2%BD%C3%90%C2%B0%20%C3%90%C2%9F%C3%90%C2%A1/%C3%90%C2%A2%C3%90%C2%A2/%C3%90%C2%A2%C3%90%C2%A2%20227901-%C3%90%C2%A2%C3%90%C2%9F%C3%90%C2%98%C3%90%C2%A0%20%C3%90%C2%9E%C3%90%C2%91%C3%90%C2%A1%C3%90%C2%9B-2023-%C3%90%C2%94%C3%90%C2%A0%C3%90%C2%A1%C3%90%C2%9A-%C3%90%C2%A5%C3%90%C2%AD%C3%90%C2%A1%20%C3%A2%C2%80%C2%94%20%C3%90%C2%BA%C3%90%C2%BE%C3%90%C2%BF%C3%90%C2%B8%C3%91%C2%8F.doc" \l "_Toc54643121"</w:instrText>
      </w:r>
      <w:r>
        <w:rPr>
          <w:rStyle w:val="Style14"/>
          <w:sz w:val="24"/>
          <w:szCs w:val="24"/>
          <w:vanish/>
          <w:rFonts w:cs="Times New Roman"/>
        </w:rPr>
        <w:fldChar w:fldCharType="separate"/>
      </w:r>
      <w:r>
        <w:rPr>
          <w:rStyle w:val="Style14"/>
          <w:rFonts w:cs="Times New Roman"/>
          <w:vanish/>
          <w:sz w:val="24"/>
          <w:szCs w:val="24"/>
        </w:rPr>
        <w:t>1.  Общие сведения</w:t>
      </w:r>
      <w:r>
        <w:rPr>
          <w:rStyle w:val="Style14"/>
          <w:sz w:val="24"/>
          <w:szCs w:val="24"/>
          <w:vanish/>
          <w:rFonts w:cs="Times New Roman"/>
        </w:rPr>
        <w:fldChar w:fldCharType="end"/>
      </w:r>
      <w:r>
        <w:rPr>
          <w:rStyle w:val="Style14"/>
          <w:rFonts w:cs="Times New Roman"/>
          <w:vanish/>
          <w:sz w:val="24"/>
          <w:szCs w:val="24"/>
        </w:rPr>
        <w:tab/>
        <w:t>4</w:t>
      </w:r>
    </w:p>
    <w:p>
      <w:pPr>
        <w:pStyle w:val="Normal"/>
        <w:tabs>
          <w:tab w:val="clear" w:pos="708"/>
          <w:tab w:val="left" w:pos="1400" w:leader="none"/>
          <w:tab w:val="right" w:pos="9923" w:leader="dot"/>
        </w:tabs>
        <w:spacing w:before="0" w:after="100"/>
        <w:ind w:left="720" w:hanging="0"/>
        <w:rPr/>
      </w:pPr>
      <w:r>
        <w:fldChar w:fldCharType="begin"/>
      </w:r>
      <w:r>
        <w:rPr>
          <w:rStyle w:val="Style14"/>
          <w:sz w:val="24"/>
          <w:szCs w:val="24"/>
          <w:iCs/>
          <w:rFonts w:cs="Times New Roman"/>
        </w:rPr>
        <w:instrText xml:space="preserve"> HYPERLINK "../..//172.21.1.6/172.21.1.6/Investment/%C3%90%C2%92%C3%90%C2%B0%C3%91%C2%81%C3%90%C2%B8%C3%90%C2%BB%C3%91%C2%8C%C3%91%C2%87%C3%90%C2%B5%C3%90%C2%BD%C3%90%C2%BA%C3%90%C2%BE%20%C3%90%C2%AE.%C3%90%C2%9D/%C3%90%C2%97%C3%90%C2%90%C3%90%C2%9A%C3%90%C2%A3%C3%90%C2%9F%C3%90%C2%9A%C3%90%C2%98%202023/227901-%C3%90%C2%A3%C3%91%C2%81%C3%91%C2%82%C3%90%C2%B0%C3%90%C2%BD%C3%90%C2%BE%C3%90%C2%B2%C3%90%C2%BA%C3%90%C2%B0%20%C3%90%C2%91%C3%90%C2%94%C3%90%C2%97%20%C3%90%C2%BD%C3%90%C2%B0%20%C3%90%C2%9F%C3%90%C2%A1/%C3%90%C2%A2%C3%90%C2%A2/%C3%90%C2%A2%C3%90%C2%A2%20227901-%C3%90%C2%A2%C3%90%C2%9F%C3%90%C2%98%C3%90%C2%A0%20%C3%90%C2%9E%C3%90%C2%91%C3%90%C2%A1%C3%90%C2%9B-2023-%C3%90%C2%94%C3%90%C2%A0%C3%90%C2%A1%C3%90%C2%9A-%C3%90%C2%A5%C3%90%C2%AD%C3%90%C2%A1%20%C3%A2%C2%80%C2%94%20%C3%90%C2%BA%C3%90%C2%BE%C3%90%C2%BF%C3%90%C2%B8%C3%91%C2%8F.doc" \l "_Toc54643123"</w:instrText>
      </w:r>
      <w:r>
        <w:rPr>
          <w:rStyle w:val="Style14"/>
          <w:sz w:val="24"/>
          <w:szCs w:val="24"/>
          <w:iCs/>
          <w:rFonts w:cs="Times New Roman"/>
        </w:rPr>
        <w:fldChar w:fldCharType="separate"/>
      </w:r>
      <w:r>
        <w:rPr>
          <w:rStyle w:val="Style14"/>
          <w:rFonts w:cs="Times New Roman"/>
          <w:iCs/>
          <w:sz w:val="24"/>
          <w:szCs w:val="24"/>
        </w:rPr>
        <w:t>1.</w:t>
      </w:r>
      <w:r>
        <w:rPr>
          <w:rStyle w:val="Style14"/>
          <w:sz w:val="24"/>
          <w:szCs w:val="24"/>
          <w:iCs/>
          <w:rFonts w:cs="Times New Roman"/>
        </w:rPr>
        <w:fldChar w:fldCharType="end"/>
      </w:r>
      <w:r>
        <w:rPr>
          <w:rStyle w:val="Style14"/>
          <w:rFonts w:cs="Times New Roman"/>
          <w:iCs/>
          <w:sz w:val="24"/>
          <w:szCs w:val="24"/>
        </w:rPr>
        <w:t xml:space="preserve">1. </w:t>
      </w:r>
      <w:r>
        <w:rPr>
          <w:rStyle w:val="Style14"/>
          <w:rFonts w:cs="Times New Roman"/>
          <w:iCs/>
          <w:sz w:val="26"/>
          <w:szCs w:val="26"/>
        </w:rPr>
        <w:t>Обозначения и сокращения</w:t>
      </w:r>
      <w:r>
        <w:rPr>
          <w:rStyle w:val="Style14"/>
          <w:rFonts w:cs="Times New Roman"/>
          <w:iCs/>
          <w:sz w:val="24"/>
          <w:szCs w:val="24"/>
        </w:rPr>
        <w:tab/>
      </w:r>
      <w:r>
        <w:rPr>
          <w:rStyle w:val="Style14"/>
          <w:rFonts w:cs="Times New Roman"/>
          <w:iCs/>
          <w:sz w:val="24"/>
          <w:szCs w:val="24"/>
        </w:rPr>
        <w:t>2</w:t>
      </w:r>
    </w:p>
    <w:p>
      <w:pPr>
        <w:pStyle w:val="Normal"/>
        <w:tabs>
          <w:tab w:val="clear" w:pos="708"/>
          <w:tab w:val="left" w:pos="1400" w:leader="none"/>
          <w:tab w:val="right" w:pos="9923" w:leader="dot"/>
        </w:tabs>
        <w:spacing w:before="0" w:after="100"/>
        <w:ind w:left="720" w:hanging="0"/>
        <w:rPr/>
      </w:pPr>
      <w:r>
        <w:fldChar w:fldCharType="begin"/>
      </w:r>
      <w:r>
        <w:rPr>
          <w:rStyle w:val="Style14"/>
          <w:sz w:val="24"/>
          <w:szCs w:val="24"/>
          <w:iCs/>
          <w:rFonts w:cs="Times New Roman"/>
        </w:rPr>
        <w:instrText xml:space="preserve"> HYPERLINK "../..//172.21.1.6/172.21.1.6/Investment/%C3%90%C2%92%C3%90%C2%B0%C3%91%C2%81%C3%90%C2%B8%C3%90%C2%BB%C3%91%C2%8C%C3%91%C2%87%C3%90%C2%B5%C3%90%C2%BD%C3%90%C2%BA%C3%90%C2%BE%20%C3%90%C2%AE.%C3%90%C2%9D/%C3%90%C2%97%C3%90%C2%90%C3%90%C2%9A%C3%90%C2%A3%C3%90%C2%9F%C3%90%C2%9A%C3%90%C2%98%202023/227901-%C3%90%C2%A3%C3%91%C2%81%C3%91%C2%82%C3%90%C2%B0%C3%90%C2%BD%C3%90%C2%BE%C3%90%C2%B2%C3%90%C2%BA%C3%90%C2%B0%20%C3%90%C2%91%C3%90%C2%94%C3%90%C2%97%20%C3%90%C2%BD%C3%90%C2%B0%20%C3%90%C2%9F%C3%90%C2%A1/%C3%90%C2%A2%C3%90%C2%A2/%C3%90%C2%A2%C3%90%C2%A2%20227901-%C3%90%C2%A2%C3%90%C2%9F%C3%90%C2%98%C3%90%C2%A0%20%C3%90%C2%9E%C3%90%C2%91%C3%90%C2%A1%C3%90%C2%9B-2023-%C3%90%C2%94%C3%90%C2%A0%C3%90%C2%A1%C3%90%C2%9A-%C3%90%C2%A5%C3%90%C2%AD%C3%90%C2%A1%20%C3%A2%C2%80%C2%94%20%C3%90%C2%BA%C3%90%C2%BE%C3%90%C2%BF%C3%90%C2%B8%C3%91%C2%8F.doc" \l "_Toc54643123"</w:instrText>
      </w:r>
      <w:r>
        <w:rPr>
          <w:rStyle w:val="Style14"/>
          <w:sz w:val="24"/>
          <w:szCs w:val="24"/>
          <w:iCs/>
          <w:rFonts w:cs="Times New Roman"/>
        </w:rPr>
        <w:fldChar w:fldCharType="separate"/>
      </w:r>
      <w:r>
        <w:rPr>
          <w:rStyle w:val="Style14"/>
          <w:rFonts w:cs="Times New Roman"/>
          <w:iCs/>
          <w:sz w:val="24"/>
          <w:szCs w:val="24"/>
        </w:rPr>
        <w:t>1.</w:t>
      </w:r>
      <w:r>
        <w:rPr>
          <w:rStyle w:val="Style14"/>
          <w:sz w:val="24"/>
          <w:szCs w:val="24"/>
          <w:iCs/>
          <w:rFonts w:cs="Times New Roman"/>
        </w:rPr>
        <w:fldChar w:fldCharType="end"/>
      </w:r>
      <w:r>
        <w:rPr>
          <w:rStyle w:val="Style14"/>
          <w:rFonts w:cs="Times New Roman"/>
          <w:iCs/>
          <w:sz w:val="24"/>
          <w:szCs w:val="24"/>
        </w:rPr>
        <w:t>2</w:t>
      </w:r>
      <w:r>
        <w:rPr>
          <w:rFonts w:cs="Times New Roman"/>
          <w:iCs/>
          <w:sz w:val="24"/>
          <w:szCs w:val="24"/>
        </w:rPr>
        <w:t>. Наименование закупаемых работ</w:t>
        <w:tab/>
      </w:r>
      <w:r>
        <w:rPr>
          <w:rFonts w:cs="Times New Roman"/>
          <w:iCs/>
          <w:sz w:val="24"/>
          <w:szCs w:val="24"/>
        </w:rPr>
        <w:t>5</w:t>
      </w:r>
    </w:p>
    <w:p>
      <w:pPr>
        <w:pStyle w:val="Normal"/>
        <w:tabs>
          <w:tab w:val="clear" w:pos="708"/>
          <w:tab w:val="left" w:pos="1400" w:leader="none"/>
          <w:tab w:val="right" w:pos="9923" w:leader="dot"/>
        </w:tabs>
        <w:spacing w:before="0" w:after="100"/>
        <w:ind w:left="720" w:hanging="0"/>
        <w:rPr/>
      </w:pPr>
      <w:r>
        <w:fldChar w:fldCharType="begin"/>
      </w:r>
      <w:r>
        <w:rPr>
          <w:rStyle w:val="Style14"/>
          <w:sz w:val="24"/>
          <w:szCs w:val="24"/>
          <w:iCs/>
          <w:rFonts w:cs="Times New Roman"/>
        </w:rPr>
        <w:instrText xml:space="preserve"> HYPERLINK "../..//172.21.1.6/172.21.1.6/Investment/%C3%90%C2%92%C3%90%C2%B0%C3%91%C2%81%C3%90%C2%B8%C3%90%C2%BB%C3%91%C2%8C%C3%91%C2%87%C3%90%C2%B5%C3%90%C2%BD%C3%90%C2%BA%C3%90%C2%BE%20%C3%90%C2%AE.%C3%90%C2%9D/%C3%90%C2%97%C3%90%C2%90%C3%90%C2%9A%C3%90%C2%A3%C3%90%C2%9F%C3%90%C2%9A%C3%90%C2%98%202023/227901-%C3%90%C2%A3%C3%91%C2%81%C3%91%C2%82%C3%90%C2%B0%C3%90%C2%BD%C3%90%C2%BE%C3%90%C2%B2%C3%90%C2%BA%C3%90%C2%B0%20%C3%90%C2%91%C3%90%C2%94%C3%90%C2%97%20%C3%90%C2%BD%C3%90%C2%B0%20%C3%90%C2%9F%C3%90%C2%A1/%C3%90%C2%A2%C3%90%C2%A2/%C3%90%C2%A2%C3%90%C2%A2%20227901-%C3%90%C2%A2%C3%90%C2%9F%C3%90%C2%98%C3%90%C2%A0%20%C3%90%C2%9E%C3%90%C2%91%C3%90%C2%A1%C3%90%C2%9B-2023-%C3%90%C2%94%C3%90%C2%A0%C3%90%C2%A1%C3%90%C2%9A-%C3%90%C2%A5%C3%90%C2%AD%C3%90%C2%A1%20%C3%A2%C2%80%C2%94%20%C3%90%C2%BA%C3%90%C2%BE%C3%90%C2%BF%C3%90%C2%B8%C3%91%C2%8F.doc" \l "_Toc54643124"</w:instrText>
      </w:r>
      <w:r>
        <w:rPr>
          <w:rStyle w:val="Style14"/>
          <w:sz w:val="24"/>
          <w:szCs w:val="24"/>
          <w:iCs/>
          <w:rFonts w:cs="Times New Roman"/>
        </w:rPr>
        <w:fldChar w:fldCharType="separate"/>
      </w:r>
      <w:r>
        <w:rPr>
          <w:rStyle w:val="Style14"/>
          <w:rFonts w:cs="Times New Roman"/>
          <w:iCs/>
          <w:sz w:val="24"/>
          <w:szCs w:val="24"/>
        </w:rPr>
        <w:t>1.</w:t>
      </w:r>
      <w:r>
        <w:rPr>
          <w:rStyle w:val="Style14"/>
          <w:sz w:val="24"/>
          <w:szCs w:val="24"/>
          <w:iCs/>
          <w:rFonts w:cs="Times New Roman"/>
        </w:rPr>
        <w:fldChar w:fldCharType="end"/>
      </w:r>
      <w:r>
        <w:rPr>
          <w:rStyle w:val="Style14"/>
          <w:rFonts w:cs="Times New Roman"/>
          <w:iCs/>
          <w:sz w:val="24"/>
          <w:szCs w:val="24"/>
        </w:rPr>
        <w:t>3</w:t>
      </w:r>
      <w:r>
        <w:rPr>
          <w:rFonts w:cs="Times New Roman"/>
          <w:iCs/>
          <w:sz w:val="24"/>
          <w:szCs w:val="24"/>
        </w:rPr>
        <w:t xml:space="preserve">. </w:t>
      </w:r>
      <w:r>
        <w:rPr>
          <w:rFonts w:cs="Times New Roman"/>
          <w:bCs/>
          <w:iCs/>
          <w:sz w:val="24"/>
          <w:szCs w:val="24"/>
        </w:rPr>
        <w:t>Цели и задачи</w:t>
      </w:r>
      <w:r>
        <w:rPr>
          <w:rFonts w:cs="Times New Roman"/>
          <w:iCs/>
          <w:sz w:val="24"/>
          <w:szCs w:val="24"/>
        </w:rPr>
        <w:tab/>
      </w:r>
      <w:r>
        <w:rPr>
          <w:rFonts w:cs="Times New Roman"/>
          <w:iCs/>
          <w:sz w:val="24"/>
          <w:szCs w:val="24"/>
        </w:rPr>
        <w:t>5</w:t>
      </w:r>
    </w:p>
    <w:p>
      <w:pPr>
        <w:pStyle w:val="Normal"/>
        <w:tabs>
          <w:tab w:val="clear" w:pos="708"/>
          <w:tab w:val="left" w:pos="1400" w:leader="none"/>
          <w:tab w:val="right" w:pos="9923" w:leader="dot"/>
        </w:tabs>
        <w:spacing w:before="0" w:after="100"/>
        <w:ind w:left="720" w:hanging="0"/>
        <w:rPr/>
      </w:pPr>
      <w:r>
        <w:fldChar w:fldCharType="begin"/>
      </w:r>
      <w:r>
        <w:rPr>
          <w:rStyle w:val="Style14"/>
          <w:sz w:val="24"/>
          <w:szCs w:val="24"/>
          <w:rFonts w:cs="Times New Roman"/>
        </w:rPr>
        <w:instrText xml:space="preserve"> HYPERLINK "../..//172.21.1.6/172.21.1.6/Investment/%C3%90%C2%92%C3%90%C2%B0%C3%91%C2%81%C3%90%C2%B8%C3%90%C2%BB%C3%91%C2%8C%C3%91%C2%87%C3%90%C2%B5%C3%90%C2%BD%C3%90%C2%BA%C3%90%C2%BE%20%C3%90%C2%AE.%C3%90%C2%9D/%C3%90%C2%97%C3%90%C2%90%C3%90%C2%9A%C3%90%C2%A3%C3%90%C2%9F%C3%90%C2%9A%C3%90%C2%98%202023/227901-%C3%90%C2%A3%C3%91%C2%81%C3%91%C2%82%C3%90%C2%B0%C3%90%C2%BD%C3%90%C2%BE%C3%90%C2%B2%C3%90%C2%BA%C3%90%C2%B0%20%C3%90%C2%91%C3%90%C2%94%C3%90%C2%97%20%C3%90%C2%BD%C3%90%C2%B0%20%C3%90%C2%9F%C3%90%C2%A1/%C3%90%C2%A2%C3%90%C2%A2/%C3%90%C2%A2%C3%90%C2%A2%20227901-%C3%90%C2%A2%C3%90%C2%9F%C3%90%C2%98%C3%90%C2%A0%20%C3%90%C2%9E%C3%90%C2%91%C3%90%C2%A1%C3%90%C2%9B-2023-%C3%90%C2%94%C3%90%C2%A0%C3%90%C2%A1%C3%90%C2%9A-%C3%90%C2%A5%C3%90%C2%AD%C3%90%C2%A1%20%C3%A2%C2%80%C2%94%20%C3%90%C2%BA%C3%90%C2%BE%C3%90%C2%BF%C3%90%C2%B8%C3%91%C2%8F.doc" \l "_Toc54643125"</w:instrText>
      </w:r>
      <w:r>
        <w:rPr>
          <w:rStyle w:val="Style14"/>
          <w:sz w:val="24"/>
          <w:szCs w:val="24"/>
          <w:rFonts w:cs="Times New Roman"/>
        </w:rPr>
        <w:fldChar w:fldCharType="separate"/>
      </w:r>
      <w:r>
        <w:rPr>
          <w:rStyle w:val="Style14"/>
          <w:rFonts w:cs="Times New Roman"/>
          <w:sz w:val="24"/>
          <w:szCs w:val="24"/>
        </w:rPr>
        <w:t>1.</w:t>
      </w:r>
      <w:r>
        <w:rPr>
          <w:rStyle w:val="Style14"/>
          <w:sz w:val="24"/>
          <w:szCs w:val="24"/>
          <w:rFonts w:cs="Times New Roman"/>
        </w:rPr>
        <w:fldChar w:fldCharType="end"/>
      </w:r>
      <w:r>
        <w:rPr>
          <w:rStyle w:val="Style14"/>
          <w:rFonts w:cs="Times New Roman"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>. Краткое описание существующего положения</w:t>
        <w:tab/>
      </w:r>
      <w:r>
        <w:rPr>
          <w:rFonts w:cs="Times New Roman"/>
          <w:iCs/>
          <w:sz w:val="24"/>
          <w:szCs w:val="24"/>
        </w:rPr>
        <w:t>5</w:t>
      </w:r>
    </w:p>
    <w:p>
      <w:pPr>
        <w:pStyle w:val="Normal"/>
        <w:tabs>
          <w:tab w:val="clear" w:pos="708"/>
          <w:tab w:val="left" w:pos="440" w:leader="none"/>
          <w:tab w:val="left" w:pos="560" w:leader="none"/>
          <w:tab w:val="right" w:pos="9923" w:leader="dot"/>
        </w:tabs>
        <w:spacing w:lineRule="auto" w:line="252" w:before="0" w:after="100"/>
        <w:rPr/>
      </w:pPr>
      <w:r>
        <w:fldChar w:fldCharType="begin"/>
      </w:r>
      <w:r>
        <w:rPr>
          <w:rStyle w:val="Style14"/>
          <w:sz w:val="24"/>
          <w:szCs w:val="24"/>
          <w:rFonts w:cs="Times New Roman"/>
        </w:rPr>
        <w:instrText xml:space="preserve"> HYPERLINK "../..//172.21.1.6/172.21.1.6/Investment/%C3%90%C2%92%C3%90%C2%B0%C3%91%C2%81%C3%90%C2%B8%C3%90%C2%BB%C3%91%C2%8C%C3%91%C2%87%C3%90%C2%B5%C3%90%C2%BD%C3%90%C2%BA%C3%90%C2%BE%20%C3%90%C2%AE.%C3%90%C2%9D/%C3%90%C2%97%C3%90%C2%90%C3%90%C2%9A%C3%90%C2%A3%C3%90%C2%9F%C3%90%C2%9A%C3%90%C2%98%202023/227901-%C3%90%C2%A3%C3%91%C2%81%C3%91%C2%82%C3%90%C2%B0%C3%90%C2%BD%C3%90%C2%BE%C3%90%C2%B2%C3%90%C2%BA%C3%90%C2%B0%20%C3%90%C2%91%C3%90%C2%94%C3%90%C2%97%20%C3%90%C2%BD%C3%90%C2%B0%20%C3%90%C2%9F%C3%90%C2%A1/%C3%90%C2%A2%C3%90%C2%A2/%C3%90%C2%A2%C3%90%C2%A2%20227901-%C3%90%C2%A2%C3%90%C2%9F%C3%90%C2%98%C3%90%C2%A0%20%C3%90%C2%9E%C3%90%C2%91%C3%90%C2%A1%C3%90%C2%9B-2023-%C3%90%C2%94%C3%90%C2%A0%C3%90%C2%A1%C3%90%C2%9A-%C3%90%C2%A5%C3%90%C2%AD%C3%90%C2%A1%20%C3%A2%C2%80%C2%94%20%C3%90%C2%BA%C3%90%C2%BE%C3%90%C2%BF%C3%90%C2%B8%C3%91%C2%8F.doc" \l "_Toc54643126"</w:instrText>
      </w:r>
      <w:r>
        <w:rPr>
          <w:rStyle w:val="Style14"/>
          <w:sz w:val="24"/>
          <w:szCs w:val="24"/>
          <w:rFonts w:cs="Times New Roman"/>
        </w:rPr>
        <w:fldChar w:fldCharType="separate"/>
      </w:r>
      <w:r>
        <w:rPr>
          <w:rStyle w:val="Style14"/>
          <w:rFonts w:cs="Times New Roman"/>
          <w:sz w:val="24"/>
          <w:szCs w:val="24"/>
        </w:rPr>
        <w:t>Таблица 1. Перечень объектов заказчика</w:t>
      </w:r>
      <w:r>
        <w:rPr>
          <w:rStyle w:val="Style14"/>
          <w:sz w:val="24"/>
          <w:szCs w:val="24"/>
          <w:rFonts w:cs="Times New Roman"/>
        </w:rPr>
        <w:fldChar w:fldCharType="end"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>5</w:t>
      </w:r>
    </w:p>
    <w:p>
      <w:pPr>
        <w:pStyle w:val="Normal"/>
        <w:tabs>
          <w:tab w:val="clear" w:pos="708"/>
          <w:tab w:val="left" w:pos="440" w:leader="none"/>
          <w:tab w:val="left" w:pos="560" w:leader="none"/>
          <w:tab w:val="right" w:pos="9923" w:leader="dot"/>
        </w:tabs>
        <w:spacing w:lineRule="auto" w:line="252" w:before="0" w:after="100"/>
        <w:rPr/>
      </w:pPr>
      <w:r>
        <w:fldChar w:fldCharType="begin"/>
      </w:r>
      <w:r>
        <w:rPr>
          <w:rStyle w:val="Style14"/>
          <w:sz w:val="24"/>
          <w:szCs w:val="24"/>
          <w:rFonts w:cs="Times New Roman"/>
        </w:rPr>
        <w:instrText xml:space="preserve"> HYPERLINK "../..//172.21.1.6/172.21.1.6/Investment/%C3%90%C2%92%C3%90%C2%B0%C3%91%C2%81%C3%90%C2%B8%C3%90%C2%BB%C3%91%C2%8C%C3%91%C2%87%C3%90%C2%B5%C3%90%C2%BD%C3%90%C2%BA%C3%90%C2%BE%20%C3%90%C2%AE.%C3%90%C2%9D/%C3%90%C2%97%C3%90%C2%90%C3%90%C2%9A%C3%90%C2%A3%C3%90%C2%9F%C3%90%C2%9A%C3%90%C2%98%202023/227901-%C3%90%C2%A3%C3%91%C2%81%C3%91%C2%82%C3%90%C2%B0%C3%90%C2%BD%C3%90%C2%BE%C3%90%C2%B2%C3%90%C2%BA%C3%90%C2%B0%20%C3%90%C2%91%C3%90%C2%94%C3%90%C2%97%20%C3%90%C2%BD%C3%90%C2%B0%20%C3%90%C2%9F%C3%90%C2%A1/%C3%90%C2%A2%C3%90%C2%A2/%C3%90%C2%A2%C3%90%C2%A2%20227901-%C3%90%C2%A2%C3%90%C2%9F%C3%90%C2%98%C3%90%C2%A0%20%C3%90%C2%9E%C3%90%C2%91%C3%90%C2%A1%C3%90%C2%9B-2023-%C3%90%C2%94%C3%90%C2%A0%C3%90%C2%A1%C3%90%C2%9A-%C3%90%C2%A5%C3%90%C2%AD%C3%90%C2%A1%20%C3%A2%C2%80%C2%94%20%C3%90%C2%BA%C3%90%C2%BE%C3%90%C2%BF%C3%90%C2%B8%C3%91%C2%8F.doc" \l "_Toc54643129"</w:instrText>
      </w:r>
      <w:r>
        <w:rPr>
          <w:rStyle w:val="Style14"/>
          <w:sz w:val="24"/>
          <w:szCs w:val="24"/>
          <w:rFonts w:cs="Times New Roman"/>
        </w:rPr>
        <w:fldChar w:fldCharType="separate"/>
      </w:r>
      <w:r>
        <w:rPr>
          <w:rStyle w:val="Style14"/>
          <w:rFonts w:cs="Times New Roman"/>
          <w:sz w:val="24"/>
          <w:szCs w:val="24"/>
        </w:rPr>
        <w:t>2. Требования к продукции</w:t>
      </w:r>
      <w:r>
        <w:rPr>
          <w:rStyle w:val="Style14"/>
          <w:sz w:val="24"/>
          <w:szCs w:val="24"/>
          <w:rFonts w:cs="Times New Roman"/>
        </w:rPr>
        <w:fldChar w:fldCharType="end"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>5</w:t>
      </w:r>
    </w:p>
    <w:p>
      <w:pPr>
        <w:pStyle w:val="Normal"/>
        <w:tabs>
          <w:tab w:val="clear" w:pos="708"/>
          <w:tab w:val="left" w:pos="440" w:leader="none"/>
          <w:tab w:val="left" w:pos="560" w:leader="none"/>
          <w:tab w:val="right" w:pos="9923" w:leader="dot"/>
        </w:tabs>
        <w:spacing w:lineRule="auto" w:line="252" w:before="0" w:after="100"/>
        <w:rPr/>
      </w:pPr>
      <w:r>
        <w:fldChar w:fldCharType="begin"/>
      </w:r>
      <w:r>
        <w:rPr>
          <w:rStyle w:val="Style14"/>
          <w:sz w:val="24"/>
          <w:szCs w:val="24"/>
          <w:rFonts w:cs="Times New Roman"/>
        </w:rPr>
        <w:instrText xml:space="preserve"> HYPERLINK "../..//172.21.1.6/172.21.1.6/Investment/%C3%90%C2%92%C3%90%C2%B0%C3%91%C2%81%C3%90%C2%B8%C3%90%C2%BB%C3%91%C2%8C%C3%91%C2%87%C3%90%C2%B5%C3%90%C2%BD%C3%90%C2%BA%C3%90%C2%BE%20%C3%90%C2%AE.%C3%90%C2%9D/%C3%90%C2%97%C3%90%C2%90%C3%90%C2%9A%C3%90%C2%A3%C3%90%C2%9F%C3%90%C2%9A%C3%90%C2%98%202023/227901-%C3%90%C2%A3%C3%91%C2%81%C3%91%C2%82%C3%90%C2%B0%C3%90%C2%BD%C3%90%C2%BE%C3%90%C2%B2%C3%90%C2%BA%C3%90%C2%B0%20%C3%90%C2%91%C3%90%C2%94%C3%90%C2%97%20%C3%90%C2%BD%C3%90%C2%B0%20%C3%90%C2%9F%C3%90%C2%A1/%C3%90%C2%A2%C3%90%C2%A2/%C3%90%C2%A2%C3%90%C2%A2%20227901-%C3%90%C2%A2%C3%90%C2%9F%C3%90%C2%98%C3%90%C2%A0%20%C3%90%C2%9E%C3%90%C2%91%C3%90%C2%A1%C3%90%C2%9B-2023-%C3%90%C2%94%C3%90%C2%A0%C3%90%C2%A1%C3%90%C2%9A-%C3%90%C2%A5%C3%90%C2%AD%C3%90%C2%A1%20%C3%A2%C2%80%C2%94%20%C3%90%C2%BA%C3%90%C2%BE%C3%90%C2%BF%C3%90%C2%B8%C3%91%C2%8F.doc" \l "_Toc54643132"</w:instrText>
      </w:r>
      <w:r>
        <w:rPr>
          <w:rStyle w:val="Style14"/>
          <w:sz w:val="24"/>
          <w:szCs w:val="24"/>
          <w:rFonts w:cs="Times New Roman"/>
        </w:rPr>
        <w:fldChar w:fldCharType="separate"/>
      </w:r>
      <w:r>
        <w:rPr>
          <w:rStyle w:val="Style14"/>
          <w:rFonts w:cs="Times New Roman"/>
          <w:sz w:val="24"/>
          <w:szCs w:val="24"/>
        </w:rPr>
        <w:t>Таблица 2. Перечень и объем выполняемых работ</w:t>
      </w:r>
      <w:r>
        <w:rPr>
          <w:rStyle w:val="Style14"/>
          <w:sz w:val="24"/>
          <w:szCs w:val="24"/>
          <w:rFonts w:cs="Times New Roman"/>
        </w:rPr>
        <w:fldChar w:fldCharType="end"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>5</w:t>
      </w:r>
    </w:p>
    <w:p>
      <w:pPr>
        <w:pStyle w:val="Normal"/>
        <w:tabs>
          <w:tab w:val="clear" w:pos="708"/>
          <w:tab w:val="right" w:pos="9923" w:leader="dot"/>
        </w:tabs>
        <w:spacing w:before="0" w:after="100"/>
        <w:ind w:left="480" w:hanging="0"/>
        <w:rPr/>
      </w:pPr>
      <w:r>
        <w:fldChar w:fldCharType="begin"/>
      </w:r>
      <w:r>
        <w:rPr>
          <w:rStyle w:val="Style14"/>
          <w:sz w:val="24"/>
          <w:szCs w:val="24"/>
          <w:rFonts w:cs="Times New Roman"/>
        </w:rPr>
        <w:instrText xml:space="preserve"> HYPERLINK "../..//172.21.1.6/172.21.1.6/Investment/%C3%90%C2%92%C3%90%C2%B0%C3%91%C2%81%C3%90%C2%B8%C3%90%C2%BB%C3%91%C2%8C%C3%91%C2%87%C3%90%C2%B5%C3%90%C2%BD%C3%90%C2%BA%C3%90%C2%BE%20%C3%90%C2%AE.%C3%90%C2%9D/%C3%90%C2%97%C3%90%C2%90%C3%90%C2%9A%C3%90%C2%A3%C3%90%C2%9F%C3%90%C2%9A%C3%90%C2%98%202023/227901-%C3%90%C2%A3%C3%91%C2%81%C3%91%C2%82%C3%90%C2%B0%C3%90%C2%BD%C3%90%C2%BE%C3%90%C2%B2%C3%90%C2%BA%C3%90%C2%B0%20%C3%90%C2%91%C3%90%C2%94%C3%90%C2%97%20%C3%90%C2%BD%C3%90%C2%B0%20%C3%90%C2%9F%C3%90%C2%A1/%C3%90%C2%A2%C3%90%C2%A2/%C3%90%C2%A2%C3%90%C2%A2%20227901-%C3%90%C2%A2%C3%90%C2%9F%C3%90%C2%98%C3%90%C2%A0%20%C3%90%C2%9E%C3%90%C2%91%C3%90%C2%A1%C3%90%C2%9B-2023-%C3%90%C2%94%C3%90%C2%A0%C3%90%C2%A1%C3%90%C2%9A-%C3%90%C2%A5%C3%90%C2%AD%C3%90%C2%A1%20%C3%A2%C2%80%C2%94%20%C3%90%C2%BA%C3%90%C2%BE%C3%90%C2%BF%C3%90%C2%B8%C3%91%C2%8F.doc" \l "_Toc54643133"</w:instrText>
      </w:r>
      <w:r>
        <w:rPr>
          <w:rStyle w:val="Style14"/>
          <w:sz w:val="24"/>
          <w:szCs w:val="24"/>
          <w:rFonts w:cs="Times New Roman"/>
        </w:rPr>
        <w:fldChar w:fldCharType="separate"/>
      </w:r>
      <w:r>
        <w:rPr>
          <w:rStyle w:val="Style14"/>
          <w:rFonts w:cs="Times New Roman"/>
          <w:sz w:val="24"/>
          <w:szCs w:val="24"/>
        </w:rPr>
        <w:t>2.1.2. Требования к срокам выполнения работ</w:t>
      </w:r>
      <w:r>
        <w:rPr>
          <w:rStyle w:val="Style14"/>
          <w:sz w:val="24"/>
          <w:szCs w:val="24"/>
          <w:rFonts w:cs="Times New Roman"/>
        </w:rPr>
        <w:fldChar w:fldCharType="end"/>
      </w:r>
      <w:r>
        <w:rPr>
          <w:rFonts w:cs="Times New Roman"/>
          <w:sz w:val="24"/>
          <w:szCs w:val="24"/>
        </w:rPr>
        <w:tab/>
        <w:t>5</w:t>
      </w:r>
    </w:p>
    <w:p>
      <w:pPr>
        <w:pStyle w:val="Normal"/>
        <w:tabs>
          <w:tab w:val="clear" w:pos="708"/>
          <w:tab w:val="left" w:pos="440" w:leader="none"/>
          <w:tab w:val="left" w:pos="560" w:leader="none"/>
          <w:tab w:val="right" w:pos="9923" w:leader="dot"/>
        </w:tabs>
        <w:spacing w:lineRule="auto" w:line="252" w:before="0" w:after="100"/>
        <w:rPr/>
      </w:pPr>
      <w:r>
        <w:fldChar w:fldCharType="begin"/>
      </w:r>
      <w:r>
        <w:rPr>
          <w:rStyle w:val="Style14"/>
          <w:sz w:val="24"/>
          <w:szCs w:val="24"/>
          <w:rFonts w:cs="Times New Roman"/>
        </w:rPr>
        <w:instrText xml:space="preserve"> HYPERLINK "../..//172.21.1.6/172.21.1.6/Investment/%C3%90%C2%92%C3%90%C2%B0%C3%91%C2%81%C3%90%C2%B8%C3%90%C2%BB%C3%91%C2%8C%C3%91%C2%87%C3%90%C2%B5%C3%90%C2%BD%C3%90%C2%BA%C3%90%C2%BE%20%C3%90%C2%AE.%C3%90%C2%9D/%C3%90%C2%97%C3%90%C2%90%C3%90%C2%9A%C3%90%C2%A3%C3%90%C2%9F%C3%90%C2%9A%C3%90%C2%98%202023/227901-%C3%90%C2%A3%C3%91%C2%81%C3%91%C2%82%C3%90%C2%B0%C3%90%C2%BD%C3%90%C2%BE%C3%90%C2%B2%C3%90%C2%BA%C3%90%C2%B0%20%C3%90%C2%91%C3%90%C2%94%C3%90%C2%97%20%C3%90%C2%BD%C3%90%C2%B0%20%C3%90%C2%9F%C3%90%C2%A1/%C3%90%C2%A2%C3%90%C2%A2/%C3%90%C2%A2%C3%90%C2%A2%20227901-%C3%90%C2%A2%C3%90%C2%9F%C3%90%C2%98%C3%90%C2%A0%20%C3%90%C2%9E%C3%90%C2%91%C3%90%C2%A1%C3%90%C2%9B-2023-%C3%90%C2%94%C3%90%C2%A0%C3%90%C2%A1%C3%90%C2%9A-%C3%90%C2%A5%C3%90%C2%AD%C3%90%C2%A1%20%C3%A2%C2%80%C2%94%20%C3%90%C2%BA%C3%90%C2%BE%C3%90%C2%BF%C3%90%C2%B8%C3%91%C2%8F.doc" \l "_Toc54643134"</w:instrText>
      </w:r>
      <w:r>
        <w:rPr>
          <w:rStyle w:val="Style14"/>
          <w:sz w:val="24"/>
          <w:szCs w:val="24"/>
          <w:rFonts w:cs="Times New Roman"/>
        </w:rPr>
        <w:fldChar w:fldCharType="separate"/>
      </w:r>
      <w:r>
        <w:rPr>
          <w:rStyle w:val="Style14"/>
          <w:rFonts w:cs="Times New Roman"/>
          <w:sz w:val="24"/>
          <w:szCs w:val="24"/>
        </w:rPr>
        <w:t>Таблица 3. Требования по срокам выполнения работ</w:t>
      </w:r>
      <w:r>
        <w:rPr>
          <w:rStyle w:val="Style14"/>
          <w:sz w:val="24"/>
          <w:szCs w:val="24"/>
          <w:rFonts w:cs="Times New Roman"/>
        </w:rPr>
        <w:fldChar w:fldCharType="end"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>6</w:t>
      </w:r>
    </w:p>
    <w:p>
      <w:pPr>
        <w:pStyle w:val="Normal"/>
        <w:tabs>
          <w:tab w:val="clear" w:pos="708"/>
          <w:tab w:val="left" w:pos="1400" w:leader="none"/>
          <w:tab w:val="right" w:pos="9923" w:leader="dot"/>
        </w:tabs>
        <w:spacing w:before="0" w:after="100"/>
        <w:ind w:left="720" w:hanging="0"/>
        <w:rPr/>
      </w:pPr>
      <w:r>
        <w:fldChar w:fldCharType="begin"/>
      </w:r>
      <w:r>
        <w:rPr>
          <w:rStyle w:val="Style14"/>
          <w:sz w:val="24"/>
          <w:szCs w:val="24"/>
          <w:iCs/>
          <w:rFonts w:cs="Times New Roman"/>
        </w:rPr>
        <w:instrText xml:space="preserve"> HYPERLINK "../..//172.21.1.6/172.21.1.6/Investment/%C3%90%C2%92%C3%90%C2%B0%C3%91%C2%81%C3%90%C2%B8%C3%90%C2%BB%C3%91%C2%8C%C3%91%C2%87%C3%90%C2%B5%C3%90%C2%BD%C3%90%C2%BA%C3%90%C2%BE%20%C3%90%C2%AE.%C3%90%C2%9D/%C3%90%C2%97%C3%90%C2%90%C3%90%C2%9A%C3%90%C2%A3%C3%90%C2%9F%C3%90%C2%9A%C3%90%C2%98%202023/227901-%C3%90%C2%A3%C3%91%C2%81%C3%91%C2%82%C3%90%C2%B0%C3%90%C2%BD%C3%90%C2%BE%C3%90%C2%B2%C3%90%C2%BA%C3%90%C2%B0%20%C3%90%C2%91%C3%90%C2%94%C3%90%C2%97%20%C3%90%C2%BD%C3%90%C2%B0%20%C3%90%C2%9F%C3%90%C2%A1/%C3%90%C2%A2%C3%90%C2%A2/%C3%90%C2%A2%C3%90%C2%A2%20227901-%C3%90%C2%A2%C3%90%C2%9F%C3%90%C2%98%C3%90%C2%A0%20%C3%90%C2%9E%C3%90%C2%91%C3%90%C2%A1%C3%90%C2%9B-2023-%C3%90%C2%94%C3%90%C2%A0%C3%90%C2%A1%C3%90%C2%9A-%C3%90%C2%A5%C3%90%C2%AD%C3%90%C2%A1%20%C3%A2%C2%80%C2%94%20%C3%90%C2%BA%C3%90%C2%BE%C3%90%C2%BF%C3%90%C2%B8%C3%91%C2%8F.doc" \l "_Toc54643135"</w:instrText>
      </w:r>
      <w:r>
        <w:rPr>
          <w:rStyle w:val="Style14"/>
          <w:sz w:val="24"/>
          <w:szCs w:val="24"/>
          <w:iCs/>
          <w:rFonts w:cs="Times New Roman"/>
        </w:rPr>
        <w:fldChar w:fldCharType="separate"/>
      </w:r>
      <w:r>
        <w:rPr>
          <w:rStyle w:val="Style14"/>
          <w:rFonts w:cs="Times New Roman"/>
          <w:iCs/>
          <w:sz w:val="24"/>
          <w:szCs w:val="24"/>
        </w:rPr>
        <w:t>2.2. Требования</w:t>
      </w:r>
      <w:r>
        <w:rPr>
          <w:rStyle w:val="Style14"/>
          <w:sz w:val="24"/>
          <w:szCs w:val="24"/>
          <w:iCs/>
          <w:rFonts w:cs="Times New Roman"/>
        </w:rPr>
        <w:fldChar w:fldCharType="end"/>
      </w:r>
      <w:r>
        <w:rPr>
          <w:rFonts w:cs="Times New Roman"/>
          <w:iCs/>
          <w:sz w:val="24"/>
          <w:szCs w:val="24"/>
        </w:rPr>
        <w:t xml:space="preserve"> к качеству работ</w:t>
        <w:tab/>
      </w:r>
      <w:r>
        <w:rPr>
          <w:rFonts w:cs="Times New Roman"/>
          <w:b/>
          <w:iCs/>
          <w:sz w:val="24"/>
          <w:szCs w:val="24"/>
        </w:rPr>
        <w:t>7</w:t>
      </w:r>
    </w:p>
    <w:p>
      <w:pPr>
        <w:pStyle w:val="Normal"/>
        <w:tabs>
          <w:tab w:val="clear" w:pos="708"/>
          <w:tab w:val="left" w:pos="1400" w:leader="none"/>
          <w:tab w:val="right" w:pos="9923" w:leader="dot"/>
        </w:tabs>
        <w:spacing w:before="0" w:after="100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/>
          <w:iCs/>
          <w:sz w:val="24"/>
          <w:szCs w:val="24"/>
        </w:rPr>
        <w:t xml:space="preserve">Таблица 4. Требования к качеству работ </w:t>
        <w:tab/>
      </w:r>
      <w:r>
        <w:rPr>
          <w:rFonts w:cs="Times New Roman"/>
          <w:iCs/>
          <w:sz w:val="24"/>
          <w:szCs w:val="24"/>
        </w:rPr>
        <w:t>7</w:t>
      </w:r>
    </w:p>
    <w:p>
      <w:pPr>
        <w:pStyle w:val="Normal"/>
        <w:tabs>
          <w:tab w:val="clear" w:pos="708"/>
          <w:tab w:val="left" w:pos="440" w:leader="none"/>
          <w:tab w:val="left" w:pos="560" w:leader="none"/>
          <w:tab w:val="right" w:pos="9923" w:leader="dot"/>
        </w:tabs>
        <w:spacing w:lineRule="auto" w:line="252" w:before="0" w:after="100"/>
        <w:rPr/>
      </w:pPr>
      <w:r>
        <w:fldChar w:fldCharType="begin"/>
      </w:r>
      <w:r>
        <w:rPr>
          <w:rStyle w:val="Style14"/>
          <w:sz w:val="24"/>
          <w:szCs w:val="24"/>
          <w:rFonts w:cs="Times New Roman"/>
        </w:rPr>
        <w:instrText xml:space="preserve"> HYPERLINK "../..//172.21.1.6/172.21.1.6/Investment/%C3%90%C2%92%C3%90%C2%B0%C3%91%C2%81%C3%90%C2%B8%C3%90%C2%BB%C3%91%C2%8C%C3%91%C2%87%C3%90%C2%B5%C3%90%C2%BD%C3%90%C2%BA%C3%90%C2%BE%20%C3%90%C2%AE.%C3%90%C2%9D/%C3%90%C2%97%C3%90%C2%90%C3%90%C2%9A%C3%90%C2%A3%C3%90%C2%9F%C3%90%C2%9A%C3%90%C2%98%202023/227901-%C3%90%C2%A3%C3%91%C2%81%C3%91%C2%82%C3%90%C2%B0%C3%90%C2%BD%C3%90%C2%BE%C3%90%C2%B2%C3%90%C2%BA%C3%90%C2%B0%20%C3%90%C2%91%C3%90%C2%94%C3%90%C2%97%20%C3%90%C2%BD%C3%90%C2%B0%20%C3%90%C2%9F%C3%90%C2%A1/%C3%90%C2%A2%C3%90%C2%A2/%C3%90%C2%A2%C3%90%C2%A2%20227901-%C3%90%C2%A2%C3%90%C2%9F%C3%90%C2%98%C3%90%C2%A0%20%C3%90%C2%9E%C3%90%C2%91%C3%90%C2%A1%C3%90%C2%9B-2023-%C3%90%C2%94%C3%90%C2%A0%C3%90%C2%A1%C3%90%C2%9A-%C3%90%C2%A5%C3%90%C2%AD%C3%90%C2%A1%20%C3%A2%C2%80%C2%94%20%C3%90%C2%BA%C3%90%C2%BE%C3%90%C2%BF%C3%90%C2%B8%C3%91%C2%8F.doc" \l "_Toc54643137"</w:instrText>
      </w:r>
      <w:r>
        <w:rPr>
          <w:rStyle w:val="Style14"/>
          <w:sz w:val="24"/>
          <w:szCs w:val="24"/>
          <w:rFonts w:cs="Times New Roman"/>
        </w:rPr>
        <w:fldChar w:fldCharType="separate"/>
      </w:r>
      <w:r>
        <w:rPr>
          <w:rStyle w:val="Style14"/>
          <w:rFonts w:cs="Times New Roman"/>
          <w:sz w:val="24"/>
          <w:szCs w:val="24"/>
        </w:rPr>
        <w:t>3.Требования к документации по ценообразованию на этапе закупки</w:t>
      </w:r>
      <w:r>
        <w:rPr>
          <w:rStyle w:val="Style14"/>
          <w:sz w:val="24"/>
          <w:szCs w:val="24"/>
          <w:rFonts w:cs="Times New Roman"/>
        </w:rPr>
        <w:fldChar w:fldCharType="end"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>15</w:t>
      </w:r>
    </w:p>
    <w:p>
      <w:pPr>
        <w:pStyle w:val="Normal"/>
        <w:tabs>
          <w:tab w:val="clear" w:pos="708"/>
          <w:tab w:val="left" w:pos="440" w:leader="none"/>
          <w:tab w:val="left" w:pos="560" w:leader="none"/>
          <w:tab w:val="right" w:pos="9923" w:leader="dot"/>
        </w:tabs>
        <w:spacing w:lineRule="auto" w:line="252" w:before="0" w:after="100"/>
        <w:rPr/>
      </w:pPr>
      <w:r>
        <w:rPr>
          <w:rFonts w:cs="Times New Roman"/>
          <w:sz w:val="24"/>
          <w:szCs w:val="24"/>
        </w:rPr>
        <w:t>4. Требования к документации по ценообразованию на этапе заключения</w:t>
      </w:r>
    </w:p>
    <w:p>
      <w:pPr>
        <w:pStyle w:val="Normal"/>
        <w:tabs>
          <w:tab w:val="clear" w:pos="708"/>
          <w:tab w:val="left" w:pos="440" w:leader="none"/>
          <w:tab w:val="left" w:pos="560" w:leader="none"/>
          <w:tab w:val="right" w:pos="9923" w:leader="dot"/>
        </w:tabs>
        <w:spacing w:lineRule="auto" w:line="252" w:before="0" w:after="100"/>
        <w:rPr/>
      </w:pPr>
      <w:r>
        <w:rPr>
          <w:rFonts w:cs="Times New Roman"/>
          <w:sz w:val="24"/>
          <w:szCs w:val="24"/>
        </w:rPr>
        <w:t xml:space="preserve">(исполнения) договора </w:t>
        <w:tab/>
        <w:t>15</w:t>
      </w:r>
    </w:p>
    <w:p>
      <w:pPr>
        <w:pStyle w:val="Normal"/>
        <w:tabs>
          <w:tab w:val="clear" w:pos="708"/>
          <w:tab w:val="left" w:pos="567" w:leader="none"/>
          <w:tab w:val="right" w:pos="9911" w:leader="dot"/>
        </w:tabs>
        <w:rPr>
          <w:rFonts w:eastAsia="新細明體" w:cs="Times New Roman" w:eastAsiaTheme="minorEastAsia"/>
          <w:b w:val="false"/>
          <w:bCs w:val="false"/>
          <w:sz w:val="26"/>
          <w:szCs w:val="26"/>
        </w:rPr>
      </w:pPr>
      <w:r>
        <w:fldChar w:fldCharType="begin"/>
      </w:r>
      <w:r>
        <w:rPr>
          <w:rStyle w:val="Style14"/>
          <w:sz w:val="24"/>
          <w:szCs w:val="24"/>
          <w:vanish/>
          <w:rFonts w:cs="Times New Roman"/>
        </w:rPr>
        <w:instrText xml:space="preserve"> HYPERLINK "../..//172.21.1.6/172.21.1.6/Investment/%C3%90%C2%92%C3%90%C2%B0%C3%91%C2%81%C3%90%C2%B8%C3%90%C2%BB%C3%91%C2%8C%C3%91%C2%87%C3%90%C2%B5%C3%90%C2%BD%C3%90%C2%BA%C3%90%C2%BE%20%C3%90%C2%AE.%C3%90%C2%9D/%C3%90%C2%97%C3%90%C2%90%C3%90%C2%9A%C3%90%C2%A3%C3%90%C2%9F%C3%90%C2%9A%C3%90%C2%98%202023/227901-%C3%90%C2%A3%C3%91%C2%81%C3%91%C2%82%C3%90%C2%B0%C3%90%C2%BD%C3%90%C2%BE%C3%90%C2%B2%C3%90%C2%BA%C3%90%C2%B0%20%C3%90%C2%91%C3%90%C2%94%C3%90%C2%97%20%C3%90%C2%BD%C3%90%C2%B0%20%C3%90%C2%9F%C3%90%C2%A1/%C3%90%C2%A2%C3%90%C2%A2/%C3%90%C2%A2%C3%90%C2%A2%20227901-%C3%90%C2%A2%C3%90%C2%9F%C3%90%C2%98%C3%90%C2%A0%20%C3%90%C2%9E%C3%90%C2%91%C3%90%C2%A1%C3%90%C2%9B-2023-%C3%90%C2%94%C3%90%C2%A0%C3%90%C2%A1%C3%90%C2%9A-%C3%90%C2%A5%C3%90%C2%AD%C3%90%C2%A1%20%C3%A2%C2%80%C2%94%20%C3%90%C2%BA%C3%90%C2%BE%C3%90%C2%BF%C3%90%C2%B8%C3%91%C2%8F.doc" \l "_Toc54643139"</w:instrText>
      </w:r>
      <w:r>
        <w:rPr>
          <w:rStyle w:val="Style14"/>
          <w:sz w:val="24"/>
          <w:szCs w:val="24"/>
          <w:vanish/>
          <w:rFonts w:cs="Times New Roman"/>
        </w:rPr>
        <w:fldChar w:fldCharType="separate"/>
      </w:r>
      <w:r>
        <w:rPr>
          <w:rStyle w:val="Style14"/>
          <w:rFonts w:cs="Times New Roman"/>
          <w:vanish/>
          <w:sz w:val="24"/>
          <w:szCs w:val="24"/>
        </w:rPr>
        <w:t>4. Приложения</w:t>
      </w:r>
      <w:r>
        <w:rPr>
          <w:rStyle w:val="Style14"/>
          <w:sz w:val="24"/>
          <w:szCs w:val="24"/>
          <w:vanish/>
          <w:rFonts w:cs="Times New Roman"/>
        </w:rPr>
        <w:fldChar w:fldCharType="end"/>
      </w:r>
      <w:r>
        <w:rPr>
          <w:rStyle w:val="Style14"/>
          <w:rFonts w:cs="Times New Roman"/>
          <w:vanish/>
          <w:sz w:val="24"/>
          <w:szCs w:val="24"/>
        </w:rPr>
        <w:tab/>
        <w:t>20</w:t>
      </w:r>
      <w:r>
        <w:br w:type="page"/>
      </w:r>
    </w:p>
    <w:p>
      <w:pPr>
        <w:pStyle w:val="Heading1"/>
        <w:keepLines/>
        <w:numPr>
          <w:ilvl w:val="0"/>
          <w:numId w:val="19"/>
        </w:numPr>
        <w:ind w:left="0" w:hanging="0"/>
        <w:jc w:val="center"/>
        <w:rPr>
          <w:caps/>
          <w:sz w:val="26"/>
          <w:szCs w:val="26"/>
          <w:lang w:val="ru-RU"/>
        </w:rPr>
      </w:pPr>
      <w:bookmarkStart w:id="0" w:name="_Toc46743506"/>
      <w:bookmarkStart w:id="1" w:name="_Toc51339692"/>
      <w:bookmarkStart w:id="2" w:name="_Toc132038572"/>
      <w:bookmarkStart w:id="3" w:name="_Toc125567276"/>
      <w:r>
        <w:rPr>
          <w:sz w:val="26"/>
          <w:szCs w:val="26"/>
          <w:lang w:val="ru-RU"/>
        </w:rPr>
        <w:t>Общие сведения</w:t>
      </w:r>
      <w:bookmarkEnd w:id="1"/>
      <w:bookmarkEnd w:id="2"/>
      <w:bookmarkEnd w:id="3"/>
    </w:p>
    <w:p>
      <w:pPr>
        <w:pStyle w:val="Heading4"/>
        <w:numPr>
          <w:ilvl w:val="1"/>
          <w:numId w:val="10"/>
        </w:numPr>
        <w:rPr>
          <w:iCs/>
          <w:sz w:val="26"/>
          <w:szCs w:val="26"/>
        </w:rPr>
      </w:pPr>
      <w:bookmarkStart w:id="4" w:name="_Toc132038573"/>
      <w:r>
        <w:rPr>
          <w:sz w:val="26"/>
          <w:szCs w:val="26"/>
        </w:rPr>
        <w:t>Обозначения и сокращения</w:t>
      </w:r>
    </w:p>
    <w:p>
      <w:pPr>
        <w:pStyle w:val="Normal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</w:r>
    </w:p>
    <w:tbl>
      <w:tblPr>
        <w:tblW w:w="9983" w:type="dxa"/>
        <w:jc w:val="left"/>
        <w:tblInd w:w="88" w:type="dxa"/>
        <w:tblLayout w:type="fixed"/>
        <w:tblCellMar>
          <w:top w:w="0" w:type="dxa"/>
          <w:left w:w="8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783"/>
        <w:gridCol w:w="8199"/>
      </w:tblGrid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РЭС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 электрических сетей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ЦУС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Центр управления сетями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Программное обеспечение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Структурное подразделение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СМР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Строительно-монтажные работы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ПНР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Пуско-наладочные работы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ФАО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Филиал акционерного общества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ЛСР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Локальный сметный расчет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ЭБ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Электробезопасность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Саморегулируемая организация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ПОТЭЭУ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Правила по охране труда при эксплуатации электроустановок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СЭС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Северные электрические сети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ЦЭС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Центральные электрические сети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ПЭС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Приморские электрические сети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РД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Рабочая документация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ПС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Подстанция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ИБП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Источник бесперебойного питания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СНиП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Строительные нормы и правила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ППР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 производства работ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ТС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Телесигнал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Телеизмерение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ТУ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Телеуправление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ОПУ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Общеподстанционный пункт управления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ОРУ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Открытое распределительное устройство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ЗРУ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Закрытое распределительное устройство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ВОЛС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Волоконно-оптическая линия связи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ВОК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Волоконно-оптический кабель связи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УСПИ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Устройство сбора и передачи информации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МИП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Многофункциональный измерительный преобразователь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ИБП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Источник бесперебойного питания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АВР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Автоматический ввод резерва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АКБ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Аккумуляторная батарея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ТТ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Трансформатор тока</w:t>
            </w:r>
          </w:p>
        </w:tc>
      </w:tr>
      <w:tr>
        <w:trPr>
          <w:cantSplit w:val="true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ТН</w:t>
            </w:r>
          </w:p>
        </w:tc>
        <w:tc>
          <w:tcPr>
            <w:tcW w:w="81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4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Трансформатор напряжения</w:t>
            </w:r>
          </w:p>
        </w:tc>
      </w:tr>
    </w:tbl>
    <w:p>
      <w:pPr>
        <w:pStyle w:val="Normal"/>
        <w:keepNext w:val="true"/>
        <w:keepLines/>
        <w:jc w:val="both"/>
        <w:rPr>
          <w:color w:val="00000A"/>
          <w:kern w:val="2"/>
          <w:sz w:val="26"/>
          <w:szCs w:val="26"/>
          <w:lang w:eastAsia="zh-CN"/>
        </w:rPr>
      </w:pPr>
      <w:r>
        <w:rPr>
          <w:color w:val="00000A"/>
          <w:kern w:val="2"/>
          <w:sz w:val="26"/>
          <w:szCs w:val="26"/>
          <w:lang w:eastAsia="zh-CN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</w:r>
      <w:r>
        <w:br w:type="page"/>
      </w:r>
    </w:p>
    <w:p>
      <w:pPr>
        <w:pStyle w:val="ListParagraph"/>
        <w:keepNext w:val="true"/>
        <w:numPr>
          <w:ilvl w:val="1"/>
          <w:numId w:val="20"/>
        </w:numPr>
        <w:spacing w:before="120" w:after="60"/>
        <w:contextualSpacing w:val="false"/>
        <w:outlineLvl w:val="1"/>
        <w:rPr>
          <w:b/>
          <w:bCs/>
          <w:vanish/>
          <w:sz w:val="26"/>
          <w:szCs w:val="26"/>
          <w:lang w:val="x-none" w:eastAsia="x-none"/>
        </w:rPr>
      </w:pPr>
      <w:r>
        <w:rPr>
          <w:b/>
          <w:bCs/>
          <w:vanish/>
          <w:sz w:val="26"/>
          <w:szCs w:val="26"/>
          <w:lang w:val="x-none" w:eastAsia="x-none"/>
        </w:rPr>
      </w:r>
    </w:p>
    <w:p>
      <w:pPr>
        <w:pStyle w:val="Heading2"/>
        <w:widowControl w:val="false"/>
        <w:numPr>
          <w:ilvl w:val="1"/>
          <w:numId w:val="10"/>
        </w:numPr>
        <w:tabs>
          <w:tab w:val="left" w:pos="426" w:leader="none"/>
        </w:tabs>
        <w:spacing w:before="120" w:after="120"/>
        <w:ind w:left="0" w:firstLine="709"/>
        <w:jc w:val="both"/>
        <w:rPr>
          <w:i/>
          <w:i/>
          <w:sz w:val="26"/>
          <w:szCs w:val="26"/>
        </w:rPr>
      </w:pPr>
      <w:r>
        <w:rPr>
          <w:sz w:val="26"/>
          <w:szCs w:val="26"/>
        </w:rPr>
        <w:t>Наименование закупаем</w:t>
      </w:r>
      <w:r>
        <w:rPr>
          <w:sz w:val="26"/>
          <w:szCs w:val="26"/>
          <w:lang w:val="ru-RU"/>
        </w:rPr>
        <w:t>ых</w:t>
      </w:r>
      <w:r>
        <w:rPr>
          <w:sz w:val="26"/>
          <w:szCs w:val="26"/>
        </w:rPr>
        <w:t xml:space="preserve"> </w:t>
      </w:r>
      <w:bookmarkEnd w:id="0"/>
      <w:r>
        <w:rPr>
          <w:sz w:val="26"/>
          <w:szCs w:val="26"/>
          <w:lang w:val="ru-RU"/>
        </w:rPr>
        <w:t>работ</w:t>
      </w:r>
      <w:bookmarkStart w:id="5" w:name="_Toc132038574"/>
      <w:bookmarkEnd w:id="4"/>
    </w:p>
    <w:p>
      <w:pPr>
        <w:pStyle w:val="Heading2"/>
        <w:widowControl w:val="false"/>
        <w:numPr>
          <w:ilvl w:val="0"/>
          <w:numId w:val="0"/>
        </w:numPr>
        <w:tabs>
          <w:tab w:val="left" w:pos="426" w:leader="none"/>
        </w:tabs>
        <w:ind w:left="0" w:firstLine="709"/>
        <w:jc w:val="both"/>
        <w:rPr>
          <w:b w:val="false"/>
          <w:color w:val="00000A"/>
          <w:kern w:val="2"/>
          <w:sz w:val="26"/>
          <w:szCs w:val="26"/>
          <w:lang w:eastAsia="zh-CN"/>
        </w:rPr>
      </w:pPr>
      <w:r>
        <w:rPr>
          <w:b w:val="false"/>
          <w:i/>
          <w:sz w:val="26"/>
          <w:szCs w:val="26"/>
        </w:rPr>
        <w:t>ОКПД2 43.21.10.140 Выполнение проектных и строительно-монтажных работ (включая поставку материалов и оборудования) по установке системы автоматической пожарной сигнализации и системы оповещения и управления эвакуацией (АПС и СОУЭ)-1шт.  для нужд филиала АО «ДРСК» Хабаровские электрические сети в рамках инвестиционного проекта P_27-ХЭС-5845»</w:t>
      </w:r>
    </w:p>
    <w:p>
      <w:pPr>
        <w:pStyle w:val="Heading2"/>
        <w:widowControl w:val="false"/>
        <w:numPr>
          <w:ilvl w:val="1"/>
          <w:numId w:val="10"/>
        </w:numPr>
        <w:tabs>
          <w:tab w:val="left" w:pos="426" w:leader="none"/>
        </w:tabs>
        <w:ind w:left="0" w:firstLine="709"/>
        <w:jc w:val="both"/>
        <w:rPr>
          <w:color w:val="00000A"/>
          <w:kern w:val="2"/>
          <w:sz w:val="26"/>
          <w:szCs w:val="26"/>
          <w:lang w:eastAsia="zh-CN"/>
        </w:rPr>
      </w:pPr>
      <w:r>
        <w:rPr>
          <w:color w:val="00000A"/>
          <w:kern w:val="2"/>
          <w:sz w:val="26"/>
          <w:szCs w:val="26"/>
          <w:highlight w:val="white"/>
          <w:lang w:eastAsia="zh-CN"/>
        </w:rPr>
        <w:t xml:space="preserve">Цель выполнения работ </w:t>
      </w:r>
    </w:p>
    <w:p>
      <w:pPr>
        <w:pStyle w:val="Normal"/>
        <w:ind w:firstLine="709"/>
        <w:jc w:val="both"/>
        <w:rPr>
          <w:i/>
          <w:i/>
          <w:sz w:val="26"/>
          <w:szCs w:val="26"/>
          <w:lang w:val="x-none" w:eastAsia="zh-CN"/>
        </w:rPr>
      </w:pPr>
      <w:r>
        <w:rPr>
          <w:i/>
          <w:sz w:val="26"/>
          <w:szCs w:val="26"/>
          <w:lang w:eastAsia="zh-CN"/>
        </w:rPr>
        <w:t>Р</w:t>
      </w:r>
      <w:r>
        <w:rPr>
          <w:i/>
          <w:sz w:val="26"/>
          <w:szCs w:val="26"/>
          <w:lang w:val="x-none" w:eastAsia="zh-CN"/>
        </w:rPr>
        <w:t>азработк</w:t>
      </w:r>
      <w:r>
        <w:rPr>
          <w:i/>
          <w:sz w:val="26"/>
          <w:szCs w:val="26"/>
          <w:lang w:eastAsia="zh-CN"/>
        </w:rPr>
        <w:t>а</w:t>
      </w:r>
      <w:r>
        <w:rPr>
          <w:i/>
          <w:sz w:val="26"/>
          <w:szCs w:val="26"/>
          <w:lang w:val="x-none" w:eastAsia="zh-CN"/>
        </w:rPr>
        <w:t xml:space="preserve"> проектно-сметной документации, монтажные и</w:t>
      </w:r>
      <w:r>
        <w:rPr>
          <w:i/>
          <w:sz w:val="26"/>
          <w:szCs w:val="26"/>
          <w:lang w:eastAsia="zh-CN"/>
        </w:rPr>
        <w:t xml:space="preserve"> </w:t>
      </w:r>
      <w:r>
        <w:rPr>
          <w:i/>
          <w:sz w:val="26"/>
          <w:szCs w:val="26"/>
          <w:lang w:val="x-none" w:eastAsia="zh-CN"/>
        </w:rPr>
        <w:t>пусконаладочные работы автоматической установки пожарной сигнализации</w:t>
      </w:r>
      <w:r>
        <w:rPr>
          <w:i/>
          <w:sz w:val="26"/>
          <w:szCs w:val="26"/>
          <w:lang w:eastAsia="zh-CN"/>
        </w:rPr>
        <w:t xml:space="preserve"> </w:t>
      </w:r>
      <w:r>
        <w:rPr>
          <w:i/>
          <w:sz w:val="26"/>
          <w:szCs w:val="26"/>
          <w:lang w:val="x-none" w:eastAsia="zh-CN"/>
        </w:rPr>
        <w:t>(АУПС) и системы оповещения и управления (СОУЭ) автоматической пожарной сигнализации при пожаре здания СЛ и СП СП «ЦЭС»</w:t>
      </w:r>
    </w:p>
    <w:p>
      <w:pPr>
        <w:pStyle w:val="Normal"/>
        <w:ind w:firstLine="709"/>
        <w:jc w:val="both"/>
        <w:rPr>
          <w:i/>
          <w:i/>
          <w:sz w:val="26"/>
          <w:szCs w:val="26"/>
          <w:lang w:val="x-none" w:eastAsia="zh-CN"/>
        </w:rPr>
      </w:pPr>
      <w:r>
        <w:rPr>
          <w:i/>
          <w:sz w:val="26"/>
          <w:szCs w:val="26"/>
          <w:lang w:val="x-none" w:eastAsia="zh-CN"/>
        </w:rPr>
      </w:r>
    </w:p>
    <w:p>
      <w:pPr>
        <w:pStyle w:val="ListParagraph"/>
        <w:numPr>
          <w:ilvl w:val="1"/>
          <w:numId w:val="10"/>
        </w:numPr>
        <w:ind w:left="792" w:hanging="83"/>
        <w:jc w:val="both"/>
        <w:rPr>
          <w:b/>
          <w:sz w:val="26"/>
          <w:szCs w:val="26"/>
          <w:lang w:val="x-none" w:eastAsia="zh-CN"/>
        </w:rPr>
      </w:pPr>
      <w:r>
        <w:rPr>
          <w:b/>
          <w:sz w:val="26"/>
          <w:szCs w:val="26"/>
          <w:lang w:val="x-none" w:eastAsia="zh-CN"/>
        </w:rPr>
        <w:t>Существующее положение</w:t>
      </w:r>
    </w:p>
    <w:p>
      <w:pPr>
        <w:pStyle w:val="Normal"/>
        <w:ind w:left="709" w:hanging="0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val="x-none" w:eastAsia="zh-CN"/>
        </w:rPr>
        <w:t>Основные технико-экономические показатели</w:t>
      </w:r>
      <w:r>
        <w:rPr>
          <w:sz w:val="26"/>
          <w:szCs w:val="26"/>
          <w:lang w:eastAsia="zh-CN"/>
        </w:rPr>
        <w:t>:</w:t>
      </w:r>
    </w:p>
    <w:p>
      <w:pPr>
        <w:pStyle w:val="Normal"/>
        <w:ind w:left="709" w:hanging="0"/>
        <w:jc w:val="both"/>
        <w:rPr>
          <w:sz w:val="26"/>
          <w:szCs w:val="26"/>
          <w:lang w:val="x-none" w:eastAsia="zh-CN"/>
        </w:rPr>
      </w:pPr>
      <w:r>
        <w:rPr>
          <w:sz w:val="26"/>
          <w:szCs w:val="26"/>
          <w:lang w:val="x-none" w:eastAsia="zh-CN"/>
        </w:rPr>
        <w:t>Двухэтажное здание;</w:t>
      </w:r>
    </w:p>
    <w:p>
      <w:pPr>
        <w:pStyle w:val="Normal"/>
        <w:ind w:left="709" w:hanging="0"/>
        <w:jc w:val="both"/>
        <w:rPr>
          <w:sz w:val="26"/>
          <w:szCs w:val="26"/>
          <w:lang w:val="x-none" w:eastAsia="zh-CN"/>
        </w:rPr>
      </w:pPr>
      <w:r>
        <w:rPr>
          <w:sz w:val="26"/>
          <w:szCs w:val="26"/>
          <w:lang w:val="x-none" w:eastAsia="zh-CN"/>
        </w:rPr>
        <w:t>Общая площадь -318,1 м.кв.</w:t>
      </w:r>
    </w:p>
    <w:p>
      <w:pPr>
        <w:pStyle w:val="Normal"/>
        <w:ind w:left="709" w:hanging="0"/>
        <w:jc w:val="both"/>
        <w:rPr>
          <w:sz w:val="26"/>
          <w:szCs w:val="26"/>
          <w:lang w:val="x-none" w:eastAsia="zh-CN"/>
        </w:rPr>
      </w:pPr>
      <w:r>
        <w:rPr>
          <w:sz w:val="26"/>
          <w:szCs w:val="26"/>
          <w:lang w:val="x-none" w:eastAsia="zh-CN"/>
        </w:rPr>
        <w:t>Стены- кирпичные;</w:t>
      </w:r>
    </w:p>
    <w:p>
      <w:pPr>
        <w:pStyle w:val="Normal"/>
        <w:ind w:left="709" w:hanging="0"/>
        <w:jc w:val="both"/>
        <w:rPr>
          <w:sz w:val="26"/>
          <w:szCs w:val="26"/>
          <w:lang w:val="x-none" w:eastAsia="zh-CN"/>
        </w:rPr>
      </w:pPr>
      <w:r>
        <w:rPr>
          <w:sz w:val="26"/>
          <w:szCs w:val="26"/>
          <w:lang w:val="x-none" w:eastAsia="zh-CN"/>
        </w:rPr>
      </w:r>
    </w:p>
    <w:p>
      <w:pPr>
        <w:pStyle w:val="Heading1"/>
        <w:keepLines/>
        <w:numPr>
          <w:ilvl w:val="0"/>
          <w:numId w:val="0"/>
        </w:numPr>
        <w:spacing w:before="0" w:after="240"/>
        <w:ind w:left="0" w:hanging="0"/>
        <w:rPr>
          <w:sz w:val="26"/>
          <w:szCs w:val="26"/>
          <w:lang w:val="ru-RU"/>
        </w:rPr>
      </w:pPr>
      <w:r>
        <w:rPr>
          <w:sz w:val="26"/>
          <w:szCs w:val="26"/>
        </w:rPr>
        <w:t>Таблица 1</w:t>
      </w:r>
      <w:r>
        <w:rPr>
          <w:sz w:val="26"/>
          <w:szCs w:val="26"/>
          <w:lang w:val="ru-RU"/>
        </w:rPr>
        <w:t>.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>Перечень объектов заказчика</w:t>
      </w:r>
      <w:bookmarkEnd w:id="5"/>
    </w:p>
    <w:tbl>
      <w:tblPr>
        <w:tblW w:w="1034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817"/>
        <w:gridCol w:w="2297"/>
        <w:gridCol w:w="2268"/>
        <w:gridCol w:w="2835"/>
        <w:gridCol w:w="2126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п/п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Расположение объекта </w:t>
              <w:br/>
            </w:r>
            <w:r>
              <w:rPr>
                <w:i/>
                <w:iCs/>
                <w:sz w:val="26"/>
                <w:szCs w:val="26"/>
              </w:rPr>
              <w:t>(место производства работ)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Примечания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Административное здание службы линий и службы подстанций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Хабаровский край, г. Хабаровск, ул. Промышленная 13.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Нежилое здание (Здание РСУ пристройка к теплому складу) площадью 369,30 кв.м.</w:t>
            </w:r>
          </w:p>
          <w:p>
            <w:pPr>
              <w:pStyle w:val="Normal"/>
              <w:widowControl w:val="false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Инв № HB042002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Эксплуатирующая организация: филиал АО «ДРСК» «Хабаровские ЭС» СП «ЦЭС»</w:t>
            </w:r>
          </w:p>
        </w:tc>
      </w:tr>
    </w:tbl>
    <w:p>
      <w:pPr>
        <w:pStyle w:val="Normal"/>
        <w:spacing w:before="240" w:after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Работы производятся в действующем здании, вследствие чего Подрядчику необходимо проводить согласованные действия и мероприятия по охране труда согласно СНиП 12-03-2001 "Безопасность труда в строительстве. Часть 1. Общие требования", СНиП 12-04-2002 "Безопасность труда в строительстве. Часть 2. Строительное производство".</w:t>
      </w:r>
      <w:bookmarkStart w:id="6" w:name="_Hlk48209761"/>
    </w:p>
    <w:p>
      <w:pPr>
        <w:pStyle w:val="Heading1"/>
        <w:keepLines/>
        <w:numPr>
          <w:ilvl w:val="0"/>
          <w:numId w:val="21"/>
        </w:numPr>
        <w:ind w:left="357" w:hanging="357"/>
        <w:jc w:val="center"/>
        <w:rPr>
          <w:sz w:val="26"/>
          <w:szCs w:val="26"/>
          <w:lang w:val="ru-RU"/>
        </w:rPr>
      </w:pPr>
      <w:bookmarkStart w:id="7" w:name="_Toc132038575"/>
      <w:bookmarkStart w:id="8" w:name="_Toc125650919"/>
      <w:bookmarkStart w:id="9" w:name="_Toc51339693"/>
      <w:bookmarkEnd w:id="6"/>
      <w:r>
        <w:rPr>
          <w:sz w:val="26"/>
          <w:szCs w:val="26"/>
          <w:lang w:val="ru-RU"/>
        </w:rPr>
        <w:t>Требования к продукции</w:t>
      </w:r>
      <w:bookmarkEnd w:id="7"/>
      <w:bookmarkEnd w:id="8"/>
      <w:bookmarkEnd w:id="9"/>
    </w:p>
    <w:p>
      <w:pPr>
        <w:pStyle w:val="Heading4"/>
        <w:numPr>
          <w:ilvl w:val="1"/>
          <w:numId w:val="22"/>
        </w:numPr>
        <w:rPr>
          <w:sz w:val="26"/>
          <w:szCs w:val="26"/>
        </w:rPr>
      </w:pPr>
      <w:bookmarkStart w:id="10" w:name="_Toc132038576"/>
      <w:bookmarkStart w:id="11" w:name="_Toc125650920"/>
      <w:r>
        <w:rPr>
          <w:sz w:val="26"/>
          <w:szCs w:val="26"/>
        </w:rPr>
        <w:t xml:space="preserve">Требования к объемам и срокам </w:t>
      </w:r>
      <w:r>
        <w:rPr>
          <w:sz w:val="26"/>
          <w:szCs w:val="26"/>
          <w:lang w:val="ru-RU"/>
        </w:rPr>
        <w:t>выполнения работ</w:t>
      </w:r>
      <w:bookmarkEnd w:id="10"/>
      <w:bookmarkEnd w:id="11"/>
    </w:p>
    <w:p>
      <w:pPr>
        <w:pStyle w:val="Heading3"/>
        <w:numPr>
          <w:ilvl w:val="2"/>
          <w:numId w:val="23"/>
        </w:numPr>
        <w:rPr>
          <w:sz w:val="26"/>
          <w:szCs w:val="26"/>
          <w:lang w:val="ru-RU"/>
        </w:rPr>
      </w:pPr>
      <w:bookmarkStart w:id="12" w:name="_Toc132038577"/>
      <w:bookmarkStart w:id="13" w:name="_Toc125650921"/>
      <w:r>
        <w:rPr>
          <w:sz w:val="26"/>
          <w:szCs w:val="26"/>
          <w:lang w:val="ru-RU"/>
        </w:rPr>
        <w:t>Требования к видам и объемам работ</w:t>
      </w:r>
      <w:bookmarkEnd w:id="12"/>
      <w:bookmarkEnd w:id="13"/>
    </w:p>
    <w:p>
      <w:pPr>
        <w:pStyle w:val="Heading1"/>
        <w:keepLines/>
        <w:numPr>
          <w:ilvl w:val="0"/>
          <w:numId w:val="0"/>
        </w:numPr>
        <w:spacing w:before="240" w:after="240"/>
        <w:ind w:left="0" w:hanging="0"/>
        <w:rPr>
          <w:sz w:val="26"/>
          <w:szCs w:val="26"/>
          <w:lang w:val="ru-RU"/>
        </w:rPr>
      </w:pPr>
      <w:bookmarkStart w:id="14" w:name="_Toc132038578"/>
      <w:bookmarkStart w:id="15" w:name="_Toc51339695"/>
      <w:r>
        <w:rPr>
          <w:sz w:val="26"/>
          <w:szCs w:val="26"/>
        </w:rPr>
        <w:t xml:space="preserve">Таблица </w:t>
      </w:r>
      <w:r>
        <w:rPr>
          <w:sz w:val="26"/>
          <w:szCs w:val="26"/>
          <w:lang w:val="ru-RU"/>
        </w:rPr>
        <w:t>2.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 xml:space="preserve">Перечень </w:t>
      </w:r>
      <w:bookmarkEnd w:id="15"/>
      <w:r>
        <w:rPr>
          <w:sz w:val="26"/>
          <w:szCs w:val="26"/>
          <w:lang w:val="ru-RU"/>
        </w:rPr>
        <w:t>и объем выполняемых работ</w:t>
      </w:r>
      <w:bookmarkEnd w:id="14"/>
    </w:p>
    <w:tbl>
      <w:tblPr>
        <w:tblW w:w="981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849"/>
        <w:gridCol w:w="4848"/>
        <w:gridCol w:w="1988"/>
        <w:gridCol w:w="21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п/п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работ / этапа работ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6"/>
                <w:szCs w:val="26"/>
              </w:rPr>
            </w:pPr>
            <w:r>
              <w:rPr>
                <w:rFonts w:eastAsia="Calibri"/>
                <w:i/>
                <w:sz w:val="26"/>
                <w:szCs w:val="26"/>
                <w:lang w:eastAsia="x-none"/>
              </w:rPr>
              <w:t>Обследование, разработка проектной документации в объеме рабочей документации, включая сметную документацию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Комплект/экземпляр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i/>
                <w:i/>
                <w:sz w:val="26"/>
                <w:szCs w:val="26"/>
                <w:lang w:eastAsia="x-none"/>
              </w:rPr>
            </w:pPr>
            <w:r>
              <w:rPr>
                <w:rFonts w:eastAsia="Calibri"/>
                <w:i/>
                <w:sz w:val="26"/>
                <w:szCs w:val="26"/>
                <w:lang w:eastAsia="x-none"/>
              </w:rPr>
              <w:t>Поставка оборудования и МТР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Комплект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i/>
                <w:i/>
                <w:sz w:val="26"/>
                <w:szCs w:val="26"/>
                <w:lang w:eastAsia="x-none"/>
              </w:rPr>
            </w:pPr>
            <w:r>
              <w:rPr>
                <w:rFonts w:eastAsia="Calibri"/>
                <w:i/>
                <w:sz w:val="26"/>
                <w:szCs w:val="26"/>
                <w:lang w:eastAsia="x-none"/>
              </w:rPr>
              <w:t>Выполнение СМР, ПНР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Комплект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</w:p>
        </w:tc>
      </w:tr>
    </w:tbl>
    <w:p>
      <w:pPr>
        <w:pStyle w:val="Heading3"/>
        <w:numPr>
          <w:ilvl w:val="0"/>
          <w:numId w:val="0"/>
        </w:numPr>
        <w:ind w:left="720" w:hanging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</w:r>
    </w:p>
    <w:p>
      <w:pPr>
        <w:pStyle w:val="Heading3"/>
        <w:numPr>
          <w:ilvl w:val="2"/>
          <w:numId w:val="24"/>
        </w:num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Требования к срокам выполнения работ</w:t>
      </w:r>
    </w:p>
    <w:p>
      <w:pPr>
        <w:pStyle w:val="Heading1"/>
        <w:keepLines/>
        <w:numPr>
          <w:ilvl w:val="0"/>
          <w:numId w:val="0"/>
        </w:numPr>
        <w:spacing w:before="240" w:after="240"/>
        <w:ind w:left="0" w:hanging="0"/>
        <w:rPr>
          <w:sz w:val="26"/>
          <w:szCs w:val="26"/>
          <w:lang w:val="ru-RU"/>
        </w:rPr>
      </w:pPr>
      <w:bookmarkStart w:id="16" w:name="_Toc132038580"/>
      <w:bookmarkStart w:id="17" w:name="_Toc51339697"/>
      <w:bookmarkStart w:id="18" w:name="_Toc50125127"/>
      <w:bookmarkStart w:id="19" w:name="_Toc50125126"/>
      <w:bookmarkEnd w:id="19"/>
      <w:r>
        <w:rPr>
          <w:sz w:val="26"/>
          <w:szCs w:val="26"/>
        </w:rPr>
        <w:t xml:space="preserve">Таблица </w:t>
      </w:r>
      <w:r>
        <w:rPr>
          <w:sz w:val="26"/>
          <w:szCs w:val="26"/>
          <w:lang w:val="ru-RU"/>
        </w:rPr>
        <w:t>3</w:t>
      </w:r>
      <w:r>
        <w:rPr>
          <w:sz w:val="26"/>
          <w:szCs w:val="26"/>
        </w:rPr>
        <w:t xml:space="preserve">. </w:t>
      </w:r>
      <w:bookmarkStart w:id="20" w:name="_Hlk50465284"/>
      <w:r>
        <w:rPr>
          <w:sz w:val="26"/>
          <w:szCs w:val="26"/>
        </w:rPr>
        <w:t xml:space="preserve">Требования по срокам </w:t>
      </w:r>
      <w:bookmarkEnd w:id="17"/>
      <w:bookmarkEnd w:id="18"/>
      <w:bookmarkEnd w:id="20"/>
      <w:r>
        <w:rPr>
          <w:sz w:val="26"/>
          <w:szCs w:val="26"/>
          <w:lang w:val="ru-RU"/>
        </w:rPr>
        <w:t>выполнения работ</w:t>
      </w:r>
      <w:bookmarkEnd w:id="16"/>
    </w:p>
    <w:tbl>
      <w:tblPr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44"/>
        <w:gridCol w:w="4822"/>
        <w:gridCol w:w="1982"/>
        <w:gridCol w:w="2127"/>
      </w:tblGrid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п/п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работ/ этапа работ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Требования к началу срока выполнения работ/ этапа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6"/>
              </w:rPr>
            </w:pPr>
            <w:bookmarkStart w:id="21" w:name="_Toc46743510"/>
            <w:r>
              <w:rPr>
                <w:b/>
                <w:sz w:val="26"/>
              </w:rPr>
              <w:t>4</w:t>
            </w:r>
            <w:bookmarkEnd w:id="21"/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Разработка и согласование с Заказчиком РД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даты заключения договора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60 календарных дней с даты заключения договора</w:t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bookmarkStart w:id="22" w:name="_GoBack"/>
            <w:bookmarkStart w:id="23" w:name="_GoBack"/>
            <w:bookmarkEnd w:id="23"/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Выполнение СМР, ПНР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даты заключения договора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180 календарных дней с даты заключения договора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424" w:gutter="0" w:header="680" w:top="1134" w:footer="0" w:bottom="992"/>
          <w:pgNumType w:fmt="decimal"/>
          <w:formProt w:val="false"/>
          <w:titlePg/>
          <w:textDirection w:val="lrTb"/>
          <w:docGrid w:type="default" w:linePitch="381" w:charSpace="0"/>
        </w:sectPr>
        <w:pStyle w:val="Heading4"/>
        <w:numPr>
          <w:ilvl w:val="0"/>
        </w:numPr>
        <w:tabs>
          <w:tab w:val="clear" w:pos="0"/>
        </w:tabs>
        <w:ind w:left="0" w:hanging="0"/>
        <w:rPr>
          <w:sz w:val="26"/>
          <w:szCs w:val="26"/>
        </w:rPr>
      </w:pPr>
      <w:r>
        <w:rPr>
          <w:sz w:val="26"/>
          <w:szCs w:val="26"/>
        </w:rPr>
      </w:r>
      <w:bookmarkStart w:id="24" w:name="_GoBack_Копия_1"/>
      <w:bookmarkStart w:id="25" w:name="_GoBack_Копия_1"/>
      <w:bookmarkEnd w:id="25"/>
      <w:r>
        <w:br w:type="page"/>
      </w:r>
    </w:p>
    <w:p>
      <w:pPr>
        <w:pStyle w:val="Heading4"/>
        <w:numPr>
          <w:ilvl w:val="1"/>
          <w:numId w:val="25"/>
        </w:numPr>
        <w:rPr>
          <w:sz w:val="26"/>
          <w:szCs w:val="26"/>
        </w:rPr>
      </w:pPr>
      <w:r>
        <w:rPr>
          <w:sz w:val="26"/>
          <w:szCs w:val="26"/>
        </w:rPr>
        <w:t xml:space="preserve">Требования к </w:t>
      </w:r>
      <w:r>
        <w:rPr>
          <w:sz w:val="26"/>
          <w:szCs w:val="26"/>
          <w:lang w:val="ru-RU"/>
        </w:rPr>
        <w:t>качеству работ</w:t>
      </w:r>
    </w:p>
    <w:p>
      <w:pPr>
        <w:pStyle w:val="Heading1"/>
        <w:keepLines/>
        <w:numPr>
          <w:ilvl w:val="0"/>
          <w:numId w:val="0"/>
        </w:numPr>
        <w:spacing w:before="240" w:after="240"/>
        <w:ind w:left="0" w:hanging="0"/>
        <w:rPr>
          <w:sz w:val="26"/>
          <w:szCs w:val="26"/>
        </w:rPr>
      </w:pPr>
      <w:bookmarkStart w:id="26" w:name="_Toc132038582"/>
      <w:r>
        <w:rPr>
          <w:sz w:val="26"/>
          <w:szCs w:val="26"/>
        </w:rPr>
        <w:t>Таблица </w:t>
      </w:r>
      <w:r>
        <w:rPr>
          <w:sz w:val="26"/>
          <w:szCs w:val="26"/>
          <w:lang w:val="ru-RU"/>
        </w:rPr>
        <w:t>4</w:t>
      </w:r>
      <w:r>
        <w:rPr>
          <w:sz w:val="26"/>
          <w:szCs w:val="26"/>
        </w:rPr>
        <w:t xml:space="preserve">. Требования к </w:t>
      </w:r>
      <w:r>
        <w:rPr>
          <w:sz w:val="26"/>
          <w:szCs w:val="26"/>
          <w:lang w:val="ru-RU"/>
        </w:rPr>
        <w:t>качеству работ</w:t>
      </w:r>
      <w:bookmarkEnd w:id="26"/>
      <w:r>
        <w:rPr>
          <w:sz w:val="26"/>
          <w:szCs w:val="26"/>
        </w:rPr>
        <w:t xml:space="preserve"> </w:t>
      </w:r>
    </w:p>
    <w:tbl>
      <w:tblPr>
        <w:tblStyle w:val="affff5"/>
        <w:tblW w:w="14742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50"/>
        <w:gridCol w:w="3120"/>
        <w:gridCol w:w="7937"/>
        <w:gridCol w:w="2834"/>
      </w:tblGrid>
      <w:tr>
        <w:trPr/>
        <w:tc>
          <w:tcPr>
            <w:tcW w:w="85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ru-RU" w:eastAsia="ru-RU" w:bidi="ar-SA"/>
              </w:rPr>
              <w:t>п/п</w:t>
            </w:r>
          </w:p>
        </w:tc>
        <w:tc>
          <w:tcPr>
            <w:tcW w:w="312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793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ru-RU" w:eastAsia="ru-RU" w:bidi="ar-SA"/>
              </w:rPr>
              <w:t>Требование заказчика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85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312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793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ru-RU" w:eastAsia="ru-RU" w:bidi="ar-SA"/>
              </w:rPr>
              <w:t>Согласие с требованием/ указание характеристик</w:t>
            </w:r>
          </w:p>
        </w:tc>
      </w:tr>
      <w:tr>
        <w:trPr>
          <w:trHeight w:val="344" w:hRule="atLeast"/>
        </w:trPr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1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2</w:t>
            </w:r>
          </w:p>
        </w:tc>
        <w:tc>
          <w:tcPr>
            <w:tcW w:w="793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3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 xml:space="preserve">Требования к выполнению работ 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60" w:after="60"/>
              <w:jc w:val="left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Подрядчик осуществляет монтаж и пуско-наладку автоматической пожарной сигнализации системы оповещения и управления эвакуацией (АПС и СОУЭ в полном объёме, в сроки, установленные по согласованию с Заказчиком.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Все работы должны быть выполнены в соответствии с требованиями: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Федерального закона от 22.07.2008 № 123-ФЗ «Технический регламент о требованиях пожарной безопасности»;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Постановления Правительства РФ от 16.09.2020 N 1479 (ред. от 31.12.2020) "Об утверждении Правил противопожарного режима в Российской Федерации";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Рабочей документации.</w:t>
            </w:r>
          </w:p>
        </w:tc>
        <w:tc>
          <w:tcPr>
            <w:tcW w:w="2834" w:type="dxa"/>
            <w:tcBorders/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Демонтированные материалы передаются в СП «ЦЭС», строительный мусор вывозится Подрядчиком самостоятельно</w:t>
            </w:r>
          </w:p>
        </w:tc>
        <w:tc>
          <w:tcPr>
            <w:tcW w:w="2834" w:type="dxa"/>
            <w:tcBorders/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</w:r>
          </w:p>
        </w:tc>
        <w:tc>
          <w:tcPr>
            <w:tcW w:w="1105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60" w:after="60"/>
              <w:jc w:val="left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Не менее чем за 5 рабочих дней до начала выполнения работ Подрядчик направляет в адрес Заказчика уведомление о допуске персонала Подрядчика или Субподрядчика к выполнению работ с указанием объема работы, Ф.И.О., должности, паспортных данных, группы по электробезопасности работников, а также с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Подрядчиком. Если при выполнении работ используется техника, то в уведомлении о допуске Подрядчик указывает наименование техники и ее гос. 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60" w:after="60"/>
              <w:jc w:val="left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Применяемое оборудование должно иметь действующий сертификат пожарной безопасности и сертификат соответствия, быть новым (не бывшим в употреблении), отечественного производства.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Поставка материалов и техники необходимых для выполнения работ – 100% Подрядчика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60" w:after="60"/>
              <w:jc w:val="both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60" w:after="60"/>
              <w:jc w:val="left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РД 25 964-90 Система технического обслуживания и ремонта автоматических установок пожаротушения, дымоудаления, охранной, пожарной сигнализации. Организация и порядок проведения работ;</w:t>
            </w:r>
          </w:p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1418" w:leader="none"/>
              </w:tabs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СНиП 12-01-2004 «Организация строительства»;</w:t>
            </w:r>
          </w:p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1418" w:leader="none"/>
              </w:tabs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1418" w:leader="none"/>
              </w:tabs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1418" w:leader="none"/>
              </w:tabs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Требования к разработке рабочей документации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I этап работ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Проведение обследования объекта силами Исполнителя совместно с представителями Заказчика (ответственного за эксплуатацию систем пожарной безопасности);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Определение состава существующего оборудования АПС, СОУЭ, подлежащего выводу из эксплуатации и демонтажу (при наличии).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II этап работ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Разработка документации систем АПС, СОУЭ объекта;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При разработке документации следует руководствоваться действующими нормативными документами по строительству, а также ведомственными и прочими документами, предоставляемыми Заказчиком;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 Разработка сметной документации;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В состав проектно-сметной документации включить раздел по демонтажу оборудования, выводимого из эксплуатации (при наличии).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Предусмотреть применение адресно-аналоговой системы пожарной сигнализации.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Для прокладки линий связи и питания использовать кабель в соответствии с требованиями ГОСТ 31565-2012;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Приборы для подключения адресных датчиков предусмотреть на базе приборов и программного обеспечения российского производства и в соответствии с текущей нормативной документацией;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Все пожарные извещатели предусмотреть адресными с подключением к приборам контроля по адресной линии;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Для защиты помещений применить автоматические адресные пожарные извещатели дымовые, тепловые, комбинированного типа, пламени – в зависимости от типа пожарной нагрузки. Типы извещателей принимает проектная организация на основании результатов обследования объекта.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Вдоль путей эвакуации предусмотреть установку ручных пожарных извещателей.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 При необходимости обеспечить защиту пространства за подвесными потолками пожарными извещателями.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Обеспечить контроль целостности всех линий связи проектируемых систем автоматической пожарной сигнализации и систем оповещения и управления эвакуацией.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Установку пожарной сигнализации запроектировать с учетом размещения в каждом помещении работы ее по алгоритму «В» в соответствии с требованиями СП 484.1311500.2020.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 Обеспечить выдачу сигналов на запуск СОУЭ, при формировании сигнала «Пожар».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 xml:space="preserve">-  Для электропитания оборудования АПС и СОУЭ применять источники резервируемого питания, имеющие функции автоматического контроля электропитания, состояния аккумуляторов и передачи сигналов контроля на прибор контрольный и управления. 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 Предусмотреть совместную работу АПС с имеющимися инженерными системами на объекте (при наличии).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 Разработанные системы, подсистемы АПС, СОУЭ должны быть подключены к существующим системам АПС, СОУЭ здания.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Закладываемое оборудование установок должно иметь срок эксплуатации не менее 10 лет.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 Подсистема автоматической пожарной сигнализации должна обеспечивать обнаружение возгорания на ранней стадии, передачу информации о возгорании на пост охраны объекта.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Подсистема оповещения о пожаре должна обеспечивать выдачу необходимых световых, звуковых, речевых сигналов при фиксации опасных факторов пожара. При этом должен обеспечиваться контроль целостности линий связи.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Документация должна быть представлена в четырех экземплярах проектно-сметной документации на бумажной основе в переплетенном виде, прошитых и заверенных печатью проектной организации, один экземпляр (копия оригинала со всеми согласованиями) на электронном носителе - CD- диске: таблицы в формате Microsoft Excel, текстовая часть в формате Microsoft Word, чертежи и схемы переведенные в PDF.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(Электронная версия документации должна быть передана Заказчику с возможностью редактирования. Передача документации в сканированном виде не допускается.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Состав и содержание документации должен соответствовать требованиям статьи 48 Федерального закона от 29 декабря 2004 года за №190-ФЗ и Постановления от 16 февраля 2008 г. №87.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При оформлении документации учесть требования  ГОСТ Р 21.703-2020 и ГОСТ Р 21.101-2020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В составе документации обязательны следующие разделы: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Основание для разработки документации;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Краткая характеристика защищаемого объекта;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Описание основных технических решений принятых в проекте;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Спецификация основного оборудования;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 Описание функционирования в целом, с алгоритмом интеграции;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 Расчет параметров электропитания и резервирования;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Структурные схемы систем;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Планы размещения оборудования и линий связи;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Схемы внешних соединений;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Схемы подключения оборудования;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Кабельный журнал;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Подробные спецификации с указанием ЗИП;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При обнаружении отдельных несоответствий переданной документации техническому заданию, исходно-разрешительной документации, техническим условиям, а также полноты и объема документации, Заказчик передает их Исполнителю в письменном виде. После устранения несоответствий, повторное согласование и утверждение производится в порядке, установленном как для вновь разработанной проектной документации;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Прием-передача документации между Заказчиком и Исполнителем производится по акту приема-передачи с указанием состава и количества экземпляров документации. При внесении изменений и дополнений в порядке согласования документации Исполнитель оформляет и прикладывает к акту лист регистрации изменений.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Требования к НТД при разработке РД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Проектирование выполнить в соответствии с требованиями: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1.</w:t>
              <w:tab/>
              <w:t>Федеральный закон «Технический регламент о требованиях пожарной безопасности» от 22.07.2008 № 123-ФЗ;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2.</w:t>
              <w:tab/>
              <w:t>Правила противопожарного режима в Российской Федерации (утв. постановлением Правительства РФ от 16. 09. 2020 г. №1479);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3.</w:t>
              <w:tab/>
              <w:t>СП 3.13130.2009 «Системы противопожарной защиты. Система оповещения и управления эвакуацией людей при пожаре. Требования пожарной безопасности» приказ МЧС России от 25.03.2009 № 175;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4.</w:t>
              <w:tab/>
              <w:t>СП 484.1311500.2020 «Системы пожарной сигнализации и автоматизация систем противопожарной защиты» приказ МЧС России от 31.07.2020 № 582;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5.</w:t>
              <w:tab/>
              <w:t>СП 485.1311500.2020 «Установки пожаротушения автоматические» приказ МЧС России от 31.07.2020 № 582;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6.</w:t>
              <w:tab/>
              <w:t>СП 486.1311500.2020 «Перечень зданий, сооружений, помещений и оборудования, подлежащих защите автоматическими установками пожаротушения и системами пожарной сигнализации» приказ МЧС России от 31.07.2020 № 582;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7.</w:t>
              <w:tab/>
              <w:t>СП 6.13130 "Системы противопожарной защиты. Электроустановки низковольтные. Требования пожарной безопасности"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8.</w:t>
              <w:tab/>
              <w:t>СП 12.13130.2009 «Определение категорий помещений, зданий и наружных установок по взрывопожарной и пожарной опасности»;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9.</w:t>
              <w:tab/>
              <w:t>Национальный стандарт РФ ГОСТ Р 12.3.047-2012 «Система стандартов безопасности труда. Пожарная безопасность технологических процессов. Общие требования. Методы контроля»;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10.</w:t>
              <w:tab/>
              <w:t>Национальный стандарт РФ ГОСТ Р 53325-2012. «Техника пожарная. Технические средства пожарной автоматики. Общие технические требования. Методы испытаний»;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11.</w:t>
              <w:tab/>
              <w:t>РД 25.964-90 «Система технического обслуживания и ремонта автоматических установок пожаротушения, дымоудаления, пожарной и охранно-пожарной сигнализации. Организация и порядок проведения работ»;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12.</w:t>
              <w:tab/>
              <w:t>ГОСТ 31817.1.1-2012 (IEC 60839-1-1:1988) "Системы тревожной сигнализации. Часть 1. Общие требования. Раздел 1. Общие положения" (утв. приказом Росстандарта от 22 ноября 2012 г. N 1034-ст)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13.</w:t>
              <w:tab/>
              <w:t>Постановление Правительства РФ от 1 сентября 2021 г. N 1464 "Об утверждении требований к оснащению объектов защиты автоматическими установками пожаротушения, системой пожарной сигнализации, системой оповещения и управления эвакуацией людей при пожаре"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14.</w:t>
              <w:tab/>
              <w:t>ГОСТ Р 21.101-2020 "Система проектной документации для строительства. Основные требования к проектной и рабочей документации"4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15.</w:t>
              <w:tab/>
              <w:t>ГОСТ 12.1.019-2017. Межгосударственный стандарт. Система стандартов безопасности труда. Электробезопасность. Общие требования и номенклатура видов защиты;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16.</w:t>
              <w:tab/>
              <w:t>«ПУЭ» издание 7. Правила устройства электроустановок;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Требования к сметной документации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1020" w:leader="none"/>
              </w:tabs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Согласно приложению 2 к ТТ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1020" w:leader="none"/>
              </w:tabs>
              <w:suppressAutoHyphens w:val="true"/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 xml:space="preserve">Требования к выполнению СМР, ПНР 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rFonts w:eastAsia="Calibri" w:eastAsiaTheme="minorHAnsi"/>
                <w:i/>
                <w:i/>
                <w:sz w:val="26"/>
                <w:szCs w:val="26"/>
                <w:lang w:eastAsia="en-US"/>
              </w:rPr>
            </w:pPr>
            <w:r>
              <w:rPr>
                <w:rFonts w:eastAsia="Calibri" w:cs="Times New Roman" w:eastAsiaTheme="minorHAnsi"/>
                <w:i/>
                <w:kern w:val="0"/>
                <w:sz w:val="26"/>
                <w:szCs w:val="26"/>
                <w:lang w:val="ru-RU" w:eastAsia="en-US" w:bidi="ar-SA"/>
              </w:rPr>
              <w:t>Подрядчик осуществляет монтаж и пуско-наладку автоматической пожарной сигнализации системы оповещения и управления эвакуацией (АПС и СОУЭ в соответствии с согласованной Заказчиком рабочей документацией “Автоматическая система пожарной сигнализации система оповещения и управления эвакуацией”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rFonts w:eastAsia="Calibri" w:eastAsiaTheme="minorHAnsi"/>
                <w:b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 w:cs="Times New Roman" w:eastAsiaTheme="minorHAnsi"/>
                <w:b/>
                <w:bCs/>
                <w:color w:val="000000"/>
                <w:kern w:val="0"/>
                <w:sz w:val="26"/>
                <w:szCs w:val="26"/>
                <w:lang w:val="ru-RU" w:eastAsia="en-US" w:bidi="ar-SA"/>
              </w:rPr>
              <w:t>Требования по надежности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rFonts w:eastAsia="Calibri" w:eastAsiaTheme="minorHAnsi"/>
                <w:sz w:val="26"/>
                <w:szCs w:val="26"/>
                <w:lang w:eastAsia="en-US"/>
              </w:rPr>
            </w:pPr>
            <w:r>
              <w:rPr>
                <w:rFonts w:eastAsia="Calibri" w:cs="Times New Roman" w:eastAsiaTheme="minorHAnsi"/>
                <w:kern w:val="0"/>
                <w:sz w:val="26"/>
                <w:szCs w:val="26"/>
                <w:lang w:val="ru-RU" w:eastAsia="en-US" w:bidi="ar-SA"/>
              </w:rPr>
              <w:t>Надежность технических средств системы, ее технические параметры в процессе эксплуатации обеспечиваются гарантией Исполнителя, при условии соблюдения Заказчиком режимов и условий эксплуатации. Надежность используемого оборудования и материалов обеспечивается гарантией завода изготовителя.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both"/>
              <w:rPr>
                <w:i/>
                <w:i/>
                <w:sz w:val="26"/>
                <w:szCs w:val="26"/>
              </w:rPr>
            </w:pPr>
            <w:r>
              <w:rPr>
                <w:rFonts w:eastAsia="Calibri" w:cs="Times New Roman" w:eastAsiaTheme="minorHAnsi"/>
                <w:b/>
                <w:bCs/>
                <w:color w:val="000000"/>
                <w:kern w:val="0"/>
                <w:sz w:val="26"/>
                <w:szCs w:val="26"/>
                <w:lang w:val="ru-RU" w:eastAsia="en-US" w:bidi="ar-SA"/>
              </w:rPr>
              <w:t>Требования к конструкции, монтажно-технические требования (в том числе требования к пуско-наладке и вводу в эксплуатацию)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2132" w:leader="none"/>
              </w:tabs>
              <w:suppressAutoHyphens w:val="true"/>
              <w:spacing w:before="0" w:after="0"/>
              <w:jc w:val="both"/>
              <w:rPr>
                <w:rFonts w:eastAsia="Calibri" w:eastAsiaTheme="minorHAnsi"/>
                <w:sz w:val="26"/>
                <w:szCs w:val="26"/>
                <w:lang w:eastAsia="en-US"/>
              </w:rPr>
            </w:pPr>
            <w:r>
              <w:rPr>
                <w:rFonts w:eastAsia="Calibri" w:cs="Times New Roman" w:eastAsiaTheme="minorHAnsi"/>
                <w:kern w:val="0"/>
                <w:sz w:val="26"/>
                <w:szCs w:val="26"/>
                <w:lang w:val="ru-RU" w:eastAsia="en-US" w:bidi="ar-SA"/>
              </w:rPr>
              <w:t>В соответствии с согласованной рабочей документацией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60" w:after="60"/>
              <w:jc w:val="left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ru-RU" w:eastAsia="ru-RU" w:bidi="ar-SA"/>
              </w:rPr>
              <w:t>Требования к порядку приемки результатов работ</w:t>
            </w:r>
            <w:r>
              <w:rPr>
                <w:rStyle w:val="Style8"/>
                <w:rFonts w:eastAsia="Times New Roman" w:cs="Times New Roman"/>
                <w:b w:val="false"/>
                <w:bCs/>
                <w:i w:val="false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29"/>
              <w:widowControl w:val="false"/>
              <w:numPr>
                <w:ilvl w:val="0"/>
              </w:numPr>
              <w:suppressAutoHyphens w:val="true"/>
              <w:spacing w:before="0" w:after="0"/>
              <w:ind w:left="0" w:hanging="432"/>
              <w:contextualSpacing/>
              <w:jc w:val="left"/>
              <w:rPr>
                <w:i/>
                <w:i/>
                <w:iCs/>
                <w:sz w:val="26"/>
                <w:szCs w:val="26"/>
              </w:rPr>
            </w:pPr>
            <w:r>
              <w:rPr>
                <w:rFonts w:cs="Times New Roman"/>
                <w:i/>
                <w:iCs/>
                <w:sz w:val="26"/>
                <w:szCs w:val="26"/>
                <w:lang w:val="ru-RU" w:bidi="ar-SA"/>
              </w:rPr>
              <w:t>Приемка выполненных работ осуществляется Заказчиком в соответствии с условиями заключенного договора подряда.</w:t>
            </w:r>
          </w:p>
          <w:p>
            <w:pPr>
              <w:pStyle w:val="29"/>
              <w:widowControl w:val="false"/>
              <w:numPr>
                <w:ilvl w:val="0"/>
              </w:numPr>
              <w:suppressAutoHyphens w:val="true"/>
              <w:spacing w:before="0" w:after="0"/>
              <w:ind w:left="0" w:hanging="432"/>
              <w:contextualSpacing/>
              <w:jc w:val="left"/>
              <w:rPr>
                <w:i/>
                <w:i/>
                <w:iCs/>
                <w:sz w:val="26"/>
                <w:szCs w:val="26"/>
              </w:rPr>
            </w:pPr>
            <w:r>
              <w:rPr>
                <w:rFonts w:cs="Times New Roman"/>
                <w:i/>
                <w:iCs/>
                <w:sz w:val="26"/>
                <w:szCs w:val="26"/>
                <w:lang w:val="ru-RU" w:bidi="ar-SA"/>
              </w:rPr>
              <w:t>К акту приемки в обязательном порядке прилагается исполнительная документация по выполненным работам в соответствии с РД-11-02-2006 (Требования к составу и порядку ведения исполнительной документации при строительстве) (акты испытаний систем, копии паспортов и сертификатов на использованные в строительстве материалы и конструкции и другую, предусмотренную нормативами документацию) на бумажном носителе и в электронной версии (формат pdf), с паспортами и сертификатами. Без перечисленных приложений акт приемки Заказчиком не принимается к рассмотрению.</w:t>
            </w:r>
          </w:p>
          <w:p>
            <w:pPr>
              <w:pStyle w:val="29"/>
              <w:widowControl w:val="false"/>
              <w:numPr>
                <w:ilvl w:val="0"/>
              </w:numPr>
              <w:suppressAutoHyphens w:val="true"/>
              <w:spacing w:before="0" w:after="0"/>
              <w:ind w:left="0" w:hanging="432"/>
              <w:contextualSpacing/>
              <w:jc w:val="left"/>
              <w:rPr>
                <w:i/>
                <w:i/>
                <w:iCs/>
                <w:sz w:val="26"/>
                <w:szCs w:val="26"/>
              </w:rPr>
            </w:pPr>
            <w:r>
              <w:rPr>
                <w:rFonts w:cs="Times New Roman"/>
                <w:i/>
                <w:iCs/>
                <w:sz w:val="26"/>
                <w:szCs w:val="26"/>
                <w:lang w:val="ru-RU" w:bidi="ar-SA"/>
              </w:rPr>
              <w:t xml:space="preserve">При наличии замечаний по предъявленным для приёмки работам и актам Заказчик направляет замечания в электронной и письменной форме на указанные Подрядчиком адреса. 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6"/>
                <w:szCs w:val="26"/>
                <w:lang w:val="ru-RU" w:eastAsia="ru-RU" w:bidi="ar-SA"/>
              </w:rPr>
              <w:t>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счёт Подрядчика.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20" w:after="60"/>
              <w:jc w:val="both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Требования к ответственности и гарантиям подрядчика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60 месяцев с момента приёмки выполненных работ. Гарантия на материалы и оборудование, поставляемые Подрядчиком не менее 60-х месяцев, если иное не предусмотрено заводом-изготовителем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Требования к квалификации поставщика и его опыту поставок, выполнения работ/оказания услуг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Наличие у Подрядчика Лицензии на осуществление деятельности по монтажу, техническому обслуживанию и ремонту средств обеспечения пожарной безопасности зданий и сооружений, выданной Министерством РФ по делам гражданской обороны, ЧС и ликвидации последствий стихийных бедствий».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ru-RU" w:eastAsia="ru-RU" w:bidi="ar-SA"/>
              </w:rPr>
              <w:t>Особые требования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057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Разработка РД, поставка МТРиО, выполнение СМР и ПНР выполняются согласно: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Федеральный закон от 22.07.2008 № 123-ФЗ «Технический регламент о требованиях пожарной безопасности»;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Постановление Правительства РФ от 16.09.2020 N 1479 (ред. от 31.12.2020) "Об утверждении Правил противопожарного режима в Российской Федерации";</w:t>
            </w:r>
          </w:p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left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- СП 484.1311500.2020. Свод правил. Системы противопожарной защиты. Системы пожарной сигнализации и автоматизация систем противопожарной защиты. Нормы и правила проектирования"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numPr>
                <w:ilvl w:val="0"/>
              </w:numPr>
              <w:suppressAutoHyphens w:val="true"/>
              <w:spacing w:before="0" w:after="0"/>
              <w:jc w:val="center"/>
              <w:rPr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kern w:val="0"/>
                <w:sz w:val="26"/>
                <w:szCs w:val="26"/>
                <w:lang w:val="ru-RU" w:eastAsia="ru-RU" w:bidi="ar-SA"/>
              </w:rPr>
              <w:t>Согласие с требованием</w:t>
            </w:r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1134" w:gutter="0" w:header="680" w:top="1134" w:footer="0" w:bottom="425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Normal"/>
        <w:numPr>
          <w:ilvl w:val="0"/>
          <w:numId w:val="9"/>
        </w:numPr>
        <w:suppressAutoHyphens w:val="false"/>
        <w:spacing w:beforeAutospacing="1" w:after="119"/>
        <w:ind w:left="0" w:firstLine="709"/>
        <w:jc w:val="both"/>
        <w:rPr>
          <w:color w:val="000000"/>
          <w:sz w:val="26"/>
          <w:szCs w:val="26"/>
        </w:rPr>
      </w:pPr>
      <w:bookmarkStart w:id="27" w:name="_Toc132038583"/>
      <w:bookmarkEnd w:id="27"/>
      <w:r>
        <w:rPr>
          <w:b/>
          <w:bCs/>
          <w:color w:val="000000"/>
          <w:sz w:val="26"/>
          <w:szCs w:val="26"/>
        </w:rPr>
        <w:t>Требования к документации по ценообразованию на этапе закупки</w:t>
      </w:r>
    </w:p>
    <w:p>
      <w:pPr>
        <w:pStyle w:val="Normal"/>
        <w:numPr>
          <w:ilvl w:val="1"/>
          <w:numId w:val="9"/>
        </w:numPr>
        <w:suppressAutoHyphens w:val="false"/>
        <w:spacing w:before="0" w:after="60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обоснование стоимости своей заявки Участник предоставляет Коммерческое предложение по форме, приведенной в Документации о закупке.</w:t>
      </w:r>
    </w:p>
    <w:p>
      <w:pPr>
        <w:pStyle w:val="Normal"/>
        <w:numPr>
          <w:ilvl w:val="1"/>
          <w:numId w:val="9"/>
        </w:numPr>
        <w:suppressAutoHyphens w:val="false"/>
        <w:spacing w:before="0" w:after="60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numPr>
          <w:ilvl w:val="0"/>
          <w:numId w:val="9"/>
        </w:numPr>
        <w:suppressAutoHyphens w:val="false"/>
        <w:spacing w:before="0" w:after="119"/>
        <w:ind w:left="0" w:firstLine="709"/>
        <w:jc w:val="both"/>
        <w:rPr>
          <w:color w:val="000000"/>
          <w:sz w:val="26"/>
          <w:szCs w:val="26"/>
        </w:rPr>
      </w:pPr>
      <w:bookmarkStart w:id="28" w:name="_Toc126307933"/>
      <w:bookmarkEnd w:id="28"/>
      <w:r>
        <w:rPr>
          <w:b/>
          <w:bCs/>
          <w:color w:val="000000"/>
          <w:sz w:val="26"/>
          <w:szCs w:val="26"/>
        </w:rPr>
        <w:t>Требования к документации по ценообразованию на этапе заключения (исполнения) договора</w:t>
      </w:r>
    </w:p>
    <w:p>
      <w:pPr>
        <w:pStyle w:val="Normal"/>
        <w:keepLines/>
        <w:numPr>
          <w:ilvl w:val="1"/>
          <w:numId w:val="9"/>
        </w:numPr>
        <w:suppressAutoHyphens w:val="false"/>
        <w:spacing w:before="0" w:after="240"/>
        <w:ind w:left="0" w:firstLine="709"/>
        <w:jc w:val="both"/>
        <w:rPr>
          <w:iCs/>
          <w:caps/>
          <w:sz w:val="26"/>
          <w:szCs w:val="26"/>
        </w:rPr>
      </w:pPr>
      <w:r>
        <w:rPr>
          <w:color w:val="000000"/>
          <w:sz w:val="26"/>
          <w:szCs w:val="26"/>
          <w:lang w:val="x-none"/>
        </w:rPr>
        <w:t>По результатам настоящей закупки заключается договор с предельной ценой.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lang w:val="x-none"/>
        </w:rPr>
        <w:t>Разработка сметной документации осуществляется при исполнении договора в соответствии с приложением №</w:t>
      </w:r>
      <w:r>
        <w:rPr>
          <w:color w:val="000000"/>
          <w:sz w:val="26"/>
          <w:szCs w:val="26"/>
        </w:rPr>
        <w:t>2</w:t>
      </w:r>
      <w:r>
        <w:rPr>
          <w:color w:val="000000"/>
          <w:sz w:val="26"/>
          <w:szCs w:val="26"/>
          <w:lang w:val="x-none"/>
        </w:rPr>
        <w:t>_к настоящим Техническим требованиям</w:t>
      </w:r>
      <w:r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  <w:lang w:val="x-none"/>
        </w:rPr>
        <w:t xml:space="preserve"> </w:t>
      </w:r>
    </w:p>
    <w:p>
      <w:pPr>
        <w:pStyle w:val="Normal"/>
        <w:keepLines/>
        <w:numPr>
          <w:ilvl w:val="0"/>
          <w:numId w:val="9"/>
        </w:numPr>
        <w:suppressAutoHyphens w:val="false"/>
        <w:spacing w:before="0" w:after="240"/>
        <w:rPr>
          <w:iCs/>
          <w:caps/>
          <w:sz w:val="26"/>
          <w:szCs w:val="26"/>
        </w:rPr>
      </w:pPr>
      <w:bookmarkStart w:id="29" w:name="_Toc132038585"/>
      <w:r>
        <w:rPr>
          <w:b/>
          <w:iCs/>
          <w:sz w:val="26"/>
          <w:szCs w:val="26"/>
        </w:rPr>
        <w:t>Приложения</w:t>
      </w:r>
      <w:bookmarkEnd w:id="29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60"/>
        <w:jc w:val="both"/>
        <w:rPr>
          <w:rStyle w:val="Style8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p>
      <w:pPr>
        <w:pStyle w:val="Normal"/>
        <w:spacing w:before="60" w:after="60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>Приложение № 1 Поэтажная схема здания</w:t>
      </w:r>
    </w:p>
    <w:p>
      <w:pPr>
        <w:pStyle w:val="Normal"/>
        <w:spacing w:before="60" w:after="60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>Приложение № 2: Требования к оформлению и составлению сметной документации.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Style w:val="Style8"/>
          <w:bCs/>
          <w:i w:val="false"/>
          <w:i w:val="false"/>
          <w:iCs/>
          <w:sz w:val="26"/>
          <w:szCs w:val="26"/>
        </w:rPr>
      </w:pPr>
      <w:r>
        <w:rPr>
          <w:bCs/>
          <w:i w:val="false"/>
          <w:iCs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Style w:val="Style8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Style w:val="Style8"/>
          <w:b w:val="false"/>
          <w:bCs/>
          <w:iCs/>
          <w:sz w:val="26"/>
          <w:szCs w:val="26"/>
        </w:rPr>
      </w:pPr>
      <w:r>
        <w:rPr/>
      </w:r>
    </w:p>
    <w:sectPr>
      <w:headerReference w:type="default" r:id="rId7"/>
      <w:headerReference w:type="first" r:id="rId8"/>
      <w:type w:val="nextPage"/>
      <w:pgSz w:w="11906" w:h="16838"/>
      <w:pgMar w:left="1134" w:right="424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502" w:hanging="360"/>
      </w:pPr>
      <w:rPr>
        <w:sz w:val="24"/>
        <w:b/>
        <w:szCs w:val="24"/>
        <w:bCs w:val="false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0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2"/>
        </w:tabs>
        <w:ind w:left="1870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2374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2878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3382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3886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4462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1"/>
    <w:lvlOverride w:ilvl="0">
      <w:startOverride w:val="1"/>
    </w:lvlOverride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7065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numPr>
        <w:ilvl w:val="1"/>
        <w:numId w:val="3"/>
      </w:numPr>
      <w:tabs>
        <w:tab w:val="clear" w:pos="0"/>
      </w:tabs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numPr>
        <w:ilvl w:val="0"/>
        <w:numId w:val="0"/>
      </w:numPr>
      <w:tabs>
        <w:tab w:val="clear" w:pos="708"/>
        <w:tab w:val="left" w:pos="0" w:leader="none"/>
      </w:tabs>
      <w:ind w:left="432" w:hanging="432"/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Style14" w:customStyle="1">
    <w:name w:val="Ссылка указателя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0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d5482f"/>
    <w:pPr>
      <w:tabs>
        <w:tab w:val="clear" w:pos="708"/>
        <w:tab w:val="left" w:pos="1120" w:leader="none"/>
        <w:tab w:val="right" w:pos="9911" w:leader="dot"/>
      </w:tabs>
      <w:ind w:left="567" w:hanging="0"/>
    </w:pPr>
    <w:rPr>
      <w:rFonts w:cs="Calibri" w:cstheme="minorHAnsi"/>
      <w:sz w:val="20"/>
      <w:szCs w:val="20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uiPriority w:val="39"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0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PlainText1" w:customStyle="1">
    <w:name w:val="Plain Text1"/>
    <w:basedOn w:val="Normal"/>
    <w:qFormat/>
    <w:rsid w:val="00c62d8a"/>
    <w:pPr>
      <w:widowControl w:val="false"/>
    </w:pPr>
    <w:rPr>
      <w:rFonts w:ascii="Courier New" w:hAnsi="Courier New"/>
      <w:sz w:val="20"/>
      <w:szCs w:val="20"/>
    </w:rPr>
  </w:style>
  <w:style w:type="paragraph" w:styleId="Style33" w:customStyle="1">
    <w:name w:val="Содержимое врезки"/>
    <w:basedOn w:val="Normal"/>
    <w:qFormat/>
    <w:pPr/>
    <w:rPr/>
  </w:style>
  <w:style w:type="paragraph" w:styleId="29" w:customStyle="1">
    <w:name w:val="Абзац списка2"/>
    <w:basedOn w:val="Normal"/>
    <w:qFormat/>
    <w:rsid w:val="0084790c"/>
    <w:pPr>
      <w:spacing w:before="0" w:after="0"/>
      <w:ind w:left="720" w:hanging="0"/>
      <w:contextualSpacing/>
    </w:pPr>
    <w:rPr>
      <w:rFonts w:eastAsia="Calibri"/>
      <w:color w:val="00000A"/>
      <w:kern w:val="2"/>
      <w:sz w:val="24"/>
      <w:szCs w:val="24"/>
      <w:lang w:eastAsia="zh-CN"/>
    </w:rPr>
  </w:style>
  <w:style w:type="paragraph" w:styleId="Western" w:customStyle="1">
    <w:name w:val="western"/>
    <w:basedOn w:val="Normal"/>
    <w:qFormat/>
    <w:rsid w:val="00006612"/>
    <w:pPr>
      <w:suppressAutoHyphens w:val="false"/>
      <w:spacing w:beforeAutospacing="1" w:after="119"/>
    </w:pPr>
    <w:rPr>
      <w:color w:val="000000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10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5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DA478-DD4F-4CB9-AEE5-F2DEBCC8B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Application>AlterOffice/3.4.0.6$Linux_X86_64 LibreOffice_project/ad8c41dce69105450bf791d4900d64b1f82e10d0</Application>
  <AppVersion>15.0000</AppVersion>
  <Pages>15</Pages>
  <Words>2560</Words>
  <Characters>18019</Characters>
  <CharactersWithSpaces>20227</CharactersWithSpaces>
  <Paragraphs>363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2023-04-11T06:22:00Z</dcterms:created>
  <dc:creator>Быстров Олег Геннадьевич</dc:creator>
  <dc:description/>
  <dc:language>ru-RU</dc:language>
  <cp:lastModifiedBy>mozzhuhin_dyu</cp:lastModifiedBy>
  <cp:lastPrinted>2023-01-26T10:07:00Z</cp:lastPrinted>
  <dcterms:modified xsi:type="dcterms:W3CDTF">2026-05-07T08:39:11Z</dcterms:modified>
  <cp:revision>10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