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D9" w:rsidRDefault="003623D9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3623D9" w:rsidRDefault="003623D9">
      <w:pPr>
        <w:keepNext/>
        <w:keepLines/>
        <w:jc w:val="right"/>
        <w:rPr>
          <w:b/>
          <w:bCs/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3623D9">
      <w:pPr>
        <w:keepNext/>
        <w:keepLines/>
        <w:rPr>
          <w:sz w:val="26"/>
          <w:szCs w:val="26"/>
        </w:rPr>
      </w:pPr>
    </w:p>
    <w:p w:rsidR="003623D9" w:rsidRDefault="008B75B7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280919" w:rsidRDefault="004B127F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 w:rsidRPr="004B127F">
        <w:rPr>
          <w:rFonts w:eastAsia="Times New Roman" w:cs="Times New Roman"/>
          <w:bCs/>
          <w:color w:val="000000"/>
          <w:spacing w:val="-6"/>
          <w:szCs w:val="24"/>
        </w:rPr>
        <w:tab/>
      </w:r>
      <w:r w:rsidR="00280919" w:rsidRPr="00280919">
        <w:rPr>
          <w:rFonts w:eastAsia="Times New Roman" w:cs="Times New Roman"/>
          <w:bCs/>
          <w:color w:val="000000"/>
          <w:spacing w:val="-6"/>
          <w:szCs w:val="24"/>
        </w:rPr>
        <w:t xml:space="preserve">ОКПД2 58.29.32.000 Поставка программного обеспечения системы контроля управления доступом для Нерюнгинской ГРЭС </w:t>
      </w:r>
    </w:p>
    <w:p w:rsidR="003623D9" w:rsidRPr="004B127F" w:rsidRDefault="008B75B7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  <w:sectPr w:rsidR="003623D9" w:rsidRPr="004B127F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 w:rsidRPr="004B127F">
        <w:rPr>
          <w:rFonts w:eastAsia="Times New Roman" w:cs="Times New Roman"/>
          <w:bCs/>
          <w:color w:val="000000"/>
          <w:spacing w:val="-6"/>
          <w:szCs w:val="24"/>
        </w:rPr>
        <w:t>(Лот №</w:t>
      </w:r>
      <w:r w:rsidR="004B127F" w:rsidRPr="004B127F">
        <w:rPr>
          <w:rFonts w:eastAsia="Times New Roman" w:cs="Times New Roman"/>
          <w:bCs/>
          <w:color w:val="000000"/>
          <w:spacing w:val="-6"/>
          <w:szCs w:val="24"/>
        </w:rPr>
        <w:t xml:space="preserve"> </w:t>
      </w:r>
      <w:r w:rsidR="00280919" w:rsidRPr="00280919">
        <w:rPr>
          <w:rFonts w:eastAsia="Times New Roman" w:cs="Times New Roman"/>
          <w:bCs/>
          <w:color w:val="000000"/>
          <w:spacing w:val="-6"/>
          <w:szCs w:val="24"/>
        </w:rPr>
        <w:t>004</w:t>
      </w:r>
      <w:r w:rsidR="00280919">
        <w:rPr>
          <w:rFonts w:eastAsia="Times New Roman" w:cs="Times New Roman"/>
          <w:bCs/>
          <w:color w:val="000000"/>
          <w:spacing w:val="-6"/>
          <w:szCs w:val="24"/>
        </w:rPr>
        <w:t>4-ТПиР БЕЗОП ДОХ-2026-ГРВКК-СШФ</w:t>
      </w:r>
      <w:r w:rsidRPr="004B127F">
        <w:rPr>
          <w:rFonts w:eastAsia="Times New Roman" w:cs="Times New Roman"/>
          <w:bCs/>
          <w:color w:val="000000"/>
          <w:spacing w:val="-6"/>
          <w:szCs w:val="24"/>
        </w:rPr>
        <w:t>)</w:t>
      </w:r>
    </w:p>
    <w:p w:rsidR="003623D9" w:rsidRPr="004022D9" w:rsidRDefault="008B75B7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</w:r>
      <w:r w:rsidRPr="004022D9">
        <w:t>Общие сведения</w:t>
      </w:r>
    </w:p>
    <w:p w:rsidR="003623D9" w:rsidRPr="004022D9" w:rsidRDefault="008B75B7">
      <w:pPr>
        <w:pStyle w:val="4"/>
        <w:numPr>
          <w:ilvl w:val="1"/>
          <w:numId w:val="1"/>
        </w:numPr>
        <w:ind w:left="0" w:firstLine="0"/>
      </w:pPr>
      <w:bookmarkStart w:id="1" w:name="_Toc46743506"/>
      <w:bookmarkStart w:id="2" w:name="_Toc75446568"/>
      <w:r w:rsidRPr="004022D9">
        <w:t>Наименование закупаемой продукции</w:t>
      </w:r>
      <w:bookmarkEnd w:id="1"/>
      <w:bookmarkEnd w:id="2"/>
    </w:p>
    <w:p w:rsidR="003623D9" w:rsidRPr="004022D9" w:rsidRDefault="00280919">
      <w:pPr>
        <w:jc w:val="both"/>
        <w:rPr>
          <w:rFonts w:cs="Times New Roman"/>
          <w:szCs w:val="24"/>
        </w:rPr>
      </w:pPr>
      <w:r w:rsidRPr="00280919">
        <w:rPr>
          <w:rFonts w:eastAsia="Times New Roman" w:cs="Times New Roman"/>
          <w:bCs/>
          <w:color w:val="000000"/>
          <w:spacing w:val="-6"/>
          <w:szCs w:val="24"/>
        </w:rPr>
        <w:t>ОКПД2 58.29.32.000 Поставка программного обеспечения системы контроля управления доступом для Нерюнгинской ГРЭС</w:t>
      </w:r>
      <w:r w:rsidR="004B127F" w:rsidRPr="004022D9">
        <w:rPr>
          <w:rFonts w:eastAsia="Times New Roman" w:cs="Times New Roman"/>
          <w:bCs/>
          <w:color w:val="000000"/>
          <w:spacing w:val="-6"/>
          <w:szCs w:val="24"/>
        </w:rPr>
        <w:t xml:space="preserve"> </w:t>
      </w:r>
      <w:r w:rsidR="008B75B7" w:rsidRPr="004022D9">
        <w:rPr>
          <w:rFonts w:cs="Times New Roman"/>
          <w:szCs w:val="24"/>
        </w:rPr>
        <w:t>(далее – продукция)</w:t>
      </w:r>
      <w:bookmarkStart w:id="3" w:name="_Toc75446569"/>
      <w:r w:rsidR="008B75B7" w:rsidRPr="004022D9">
        <w:rPr>
          <w:rFonts w:cs="Times New Roman"/>
          <w:szCs w:val="24"/>
        </w:rPr>
        <w:t>.</w:t>
      </w:r>
    </w:p>
    <w:p w:rsidR="003623D9" w:rsidRPr="004022D9" w:rsidRDefault="003623D9">
      <w:pPr>
        <w:ind w:firstLine="419"/>
        <w:rPr>
          <w:rFonts w:cs="Times New Roman"/>
          <w:szCs w:val="24"/>
        </w:rPr>
      </w:pPr>
    </w:p>
    <w:p w:rsidR="003623D9" w:rsidRPr="004022D9" w:rsidRDefault="008B75B7">
      <w:pPr>
        <w:pStyle w:val="4"/>
        <w:numPr>
          <w:ilvl w:val="1"/>
          <w:numId w:val="1"/>
        </w:numPr>
        <w:ind w:left="0" w:firstLine="0"/>
      </w:pPr>
      <w:bookmarkStart w:id="4" w:name="_Toc46743507"/>
      <w:r w:rsidRPr="004022D9">
        <w:t xml:space="preserve">Цель </w:t>
      </w:r>
      <w:bookmarkEnd w:id="4"/>
      <w:r w:rsidRPr="004022D9">
        <w:t xml:space="preserve">использования закупаемой продукции </w:t>
      </w:r>
      <w:bookmarkEnd w:id="3"/>
      <w:r w:rsidRPr="004022D9">
        <w:t xml:space="preserve"> </w:t>
      </w:r>
    </w:p>
    <w:p w:rsidR="003623D9" w:rsidRPr="004022D9" w:rsidRDefault="008B75B7">
      <w:pPr>
        <w:pStyle w:val="BodyText21"/>
        <w:rPr>
          <w:bCs/>
          <w:szCs w:val="24"/>
          <w:shd w:val="clear" w:color="auto" w:fill="FFFF99"/>
        </w:rPr>
      </w:pPr>
      <w:r w:rsidRPr="004022D9"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3623D9" w:rsidRPr="004022D9" w:rsidRDefault="008B75B7">
      <w:pPr>
        <w:pStyle w:val="BodyText21"/>
        <w:rPr>
          <w:szCs w:val="24"/>
        </w:rPr>
      </w:pPr>
      <w:r w:rsidRPr="004022D9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№ 1510-79-2023 от 10.11.2023 ВЗЛ 0019-КС ПИР СМР-2026-Хабаровский филиал "Внедрение Единой системы контроля и управления доступом на период строительства 2-ой очереди Нерюнгринской ГРЭС"</w:t>
      </w:r>
      <w:r w:rsidR="004B127F" w:rsidRPr="004022D9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 xml:space="preserve">, заключенного </w:t>
      </w:r>
      <w:r w:rsidR="004022D9" w:rsidRPr="004022D9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ПАО «РусГидро» и АО «Гидроремонт-ВКК».</w:t>
      </w:r>
    </w:p>
    <w:p w:rsidR="003623D9" w:rsidRPr="004022D9" w:rsidRDefault="003623D9">
      <w:pPr>
        <w:rPr>
          <w:rFonts w:cs="Times New Roman"/>
          <w:szCs w:val="24"/>
        </w:rPr>
      </w:pPr>
    </w:p>
    <w:p w:rsidR="003623D9" w:rsidRPr="004022D9" w:rsidRDefault="008B75B7">
      <w:pPr>
        <w:pStyle w:val="1"/>
        <w:numPr>
          <w:ilvl w:val="0"/>
          <w:numId w:val="1"/>
        </w:numPr>
        <w:ind w:left="0" w:firstLine="0"/>
        <w:rPr>
          <w:caps/>
          <w:sz w:val="24"/>
          <w:szCs w:val="24"/>
          <w:lang w:val="ru-RU"/>
        </w:rPr>
      </w:pPr>
      <w:bookmarkStart w:id="5" w:name="_Toc51339693"/>
      <w:bookmarkStart w:id="6" w:name="_Toc75446573"/>
      <w:r w:rsidRPr="004022D9">
        <w:rPr>
          <w:sz w:val="24"/>
          <w:szCs w:val="24"/>
        </w:rPr>
        <w:t>Требования к продукции</w:t>
      </w:r>
      <w:bookmarkEnd w:id="5"/>
      <w:bookmarkEnd w:id="6"/>
    </w:p>
    <w:p w:rsidR="003623D9" w:rsidRPr="004022D9" w:rsidRDefault="003623D9">
      <w:pPr>
        <w:rPr>
          <w:rFonts w:cs="Times New Roman"/>
          <w:szCs w:val="24"/>
          <w:lang w:eastAsia="x-none"/>
        </w:rPr>
      </w:pPr>
    </w:p>
    <w:p w:rsidR="003623D9" w:rsidRPr="004022D9" w:rsidRDefault="008B75B7">
      <w:pPr>
        <w:pStyle w:val="4"/>
        <w:numPr>
          <w:ilvl w:val="1"/>
          <w:numId w:val="1"/>
        </w:numPr>
        <w:ind w:left="0" w:firstLine="0"/>
      </w:pPr>
      <w:bookmarkStart w:id="7" w:name="_Toc75446574"/>
      <w:r w:rsidRPr="004022D9">
        <w:t xml:space="preserve">Требования к объемам и срокам </w:t>
      </w:r>
      <w:r w:rsidRPr="004022D9">
        <w:rPr>
          <w:lang w:val="ru-RU"/>
        </w:rPr>
        <w:t>поставки</w:t>
      </w:r>
      <w:bookmarkEnd w:id="7"/>
    </w:p>
    <w:p w:rsidR="003623D9" w:rsidRPr="004022D9" w:rsidRDefault="008B75B7">
      <w:pPr>
        <w:pStyle w:val="32"/>
        <w:numPr>
          <w:ilvl w:val="2"/>
          <w:numId w:val="1"/>
        </w:numPr>
        <w:ind w:left="0" w:firstLine="0"/>
      </w:pPr>
      <w:bookmarkStart w:id="8" w:name="_Toc75446575"/>
      <w:r w:rsidRPr="004022D9">
        <w:t>Перечень и объем закупаемой продукции</w:t>
      </w:r>
      <w:bookmarkEnd w:id="8"/>
    </w:p>
    <w:p w:rsidR="003623D9" w:rsidRPr="004022D9" w:rsidRDefault="003623D9">
      <w:pPr>
        <w:rPr>
          <w:rFonts w:cs="Times New Roman"/>
          <w:szCs w:val="24"/>
          <w:lang w:val="x-none" w:eastAsia="x-none"/>
        </w:rPr>
      </w:pPr>
    </w:p>
    <w:p w:rsidR="003623D9" w:rsidRPr="004022D9" w:rsidRDefault="008B75B7">
      <w:pPr>
        <w:jc w:val="both"/>
        <w:rPr>
          <w:rFonts w:cs="Times New Roman"/>
          <w:szCs w:val="24"/>
        </w:rPr>
      </w:pPr>
      <w:bookmarkStart w:id="9" w:name="_Toc51339695"/>
      <w:bookmarkStart w:id="10" w:name="_Toc75446576"/>
      <w:bookmarkStart w:id="11" w:name="_Toc75446578"/>
      <w:r w:rsidRPr="004022D9">
        <w:rPr>
          <w:rFonts w:cs="Times New Roman"/>
          <w:szCs w:val="24"/>
        </w:rPr>
        <w:t xml:space="preserve">Таблица 2.1 Перечень </w:t>
      </w:r>
      <w:bookmarkEnd w:id="9"/>
      <w:r w:rsidRPr="004022D9">
        <w:rPr>
          <w:rFonts w:cs="Times New Roman"/>
          <w:szCs w:val="24"/>
        </w:rPr>
        <w:t>и объем закупаемой продукци</w:t>
      </w:r>
      <w:bookmarkEnd w:id="10"/>
      <w:r w:rsidRPr="004022D9">
        <w:rPr>
          <w:rFonts w:cs="Times New Roman"/>
          <w:szCs w:val="24"/>
        </w:rPr>
        <w:t>и</w:t>
      </w:r>
    </w:p>
    <w:tbl>
      <w:tblPr>
        <w:tblW w:w="9521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6243"/>
        <w:gridCol w:w="1252"/>
        <w:gridCol w:w="1351"/>
      </w:tblGrid>
      <w:tr w:rsidR="003623D9" w:rsidRPr="004022D9" w:rsidTr="00E208B5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keepNext/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№</w:t>
            </w:r>
          </w:p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п/п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Наименование продукции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Количество</w:t>
            </w:r>
          </w:p>
        </w:tc>
      </w:tr>
      <w:tr w:rsidR="003623D9" w:rsidRPr="004022D9" w:rsidTr="00E208B5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4</w:t>
            </w:r>
          </w:p>
        </w:tc>
      </w:tr>
      <w:tr w:rsidR="003623D9" w:rsidRPr="004022D9" w:rsidTr="00E208B5">
        <w:trPr>
          <w:trHeight w:val="2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3623D9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color w:val="000000"/>
                <w:szCs w:val="24"/>
              </w:rPr>
              <w:t>Лицензия программного обеспечения</w:t>
            </w:r>
            <w:r w:rsidRPr="004022D9">
              <w:rPr>
                <w:rFonts w:cs="Times New Roman"/>
                <w:color w:val="000000"/>
                <w:szCs w:val="24"/>
              </w:rPr>
              <w:br/>
              <w:t>ISS02AUTO-PREM - SecurOS Auto Lite - Модуль распознавания автомобильных номеров</w:t>
            </w:r>
            <w:r w:rsidRPr="004022D9">
              <w:rPr>
                <w:rFonts w:cs="Times New Roman"/>
                <w:color w:val="000000"/>
                <w:szCs w:val="24"/>
              </w:rPr>
              <w:br/>
              <w:t>(регистрация т/с в парковочном режиме) для систем в редакции SecurOS Premium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3</w:t>
            </w:r>
          </w:p>
        </w:tc>
      </w:tr>
      <w:tr w:rsidR="003623D9" w:rsidRPr="004022D9" w:rsidTr="00E208B5">
        <w:trPr>
          <w:trHeight w:val="2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3623D9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color w:val="000000"/>
                <w:szCs w:val="24"/>
              </w:rPr>
              <w:t>Бастион-2-АРМ оператора» Модуль одного сетевого автоматизированного рабочего</w:t>
            </w:r>
            <w:r w:rsidRPr="004022D9">
              <w:rPr>
                <w:rFonts w:cs="Times New Roman"/>
                <w:color w:val="000000"/>
                <w:szCs w:val="24"/>
              </w:rPr>
              <w:br/>
            </w:r>
            <w:r w:rsidRPr="004022D9">
              <w:rPr>
                <w:rFonts w:cs="Times New Roman"/>
                <w:color w:val="000000"/>
                <w:szCs w:val="24"/>
              </w:rPr>
              <w:lastRenderedPageBreak/>
              <w:t>места (АРМ) оператора системы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lastRenderedPageBreak/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2</w:t>
            </w:r>
          </w:p>
        </w:tc>
      </w:tr>
      <w:tr w:rsidR="003623D9" w:rsidRPr="004022D9" w:rsidTr="00E208B5">
        <w:trPr>
          <w:trHeight w:val="2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3623D9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color w:val="000000"/>
                <w:szCs w:val="24"/>
              </w:rPr>
              <w:t>Модуль расширения функциональности Бастион-2 – Web-заявка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1</w:t>
            </w:r>
          </w:p>
        </w:tc>
      </w:tr>
      <w:tr w:rsidR="003623D9" w:rsidRPr="004022D9" w:rsidTr="00E208B5">
        <w:trPr>
          <w:trHeight w:val="2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3623D9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color w:val="000000"/>
                <w:szCs w:val="24"/>
              </w:rPr>
              <w:t>Модуль расширения функциональности Бастион-2 – SecurOS+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6</w:t>
            </w:r>
          </w:p>
        </w:tc>
      </w:tr>
      <w:tr w:rsidR="003623D9" w:rsidRPr="004022D9" w:rsidTr="00E208B5">
        <w:trPr>
          <w:trHeight w:val="2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3623D9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color w:val="000000"/>
                <w:szCs w:val="24"/>
              </w:rPr>
              <w:t>Модуль расширения функциональности Бастион-2 – Водитель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97409">
            <w:pPr>
              <w:pStyle w:val="afffff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3623D9" w:rsidRPr="004022D9" w:rsidTr="008B5076">
        <w:trPr>
          <w:trHeight w:val="2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23D9" w:rsidRPr="004022D9" w:rsidRDefault="003623D9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color w:val="000000"/>
                <w:szCs w:val="24"/>
              </w:rPr>
              <w:t>Модуль расширения функциональности Бастион-2 – МТП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шт.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1</w:t>
            </w:r>
          </w:p>
        </w:tc>
      </w:tr>
      <w:tr w:rsidR="004837A3" w:rsidRPr="004022D9" w:rsidTr="00D95015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A3" w:rsidRPr="004022D9" w:rsidRDefault="004837A3" w:rsidP="004837A3">
            <w:pPr>
              <w:widowControl w:val="0"/>
              <w:numPr>
                <w:ilvl w:val="0"/>
                <w:numId w:val="2"/>
              </w:numPr>
              <w:rPr>
                <w:rFonts w:cs="Times New Roman"/>
                <w:szCs w:val="24"/>
                <w:lang w:eastAsia="x-none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</w:pPr>
            <w:r>
              <w:rPr>
                <w:color w:val="000000"/>
              </w:rPr>
              <w:t>Модуль интеграции системы "Бастион-2 – SecurOS"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3623D9" w:rsidRPr="004022D9" w:rsidRDefault="003623D9">
      <w:pPr>
        <w:pStyle w:val="32"/>
      </w:pPr>
    </w:p>
    <w:p w:rsidR="003623D9" w:rsidRPr="004022D9" w:rsidRDefault="003623D9">
      <w:pPr>
        <w:rPr>
          <w:rFonts w:cs="Times New Roman"/>
          <w:szCs w:val="24"/>
        </w:rPr>
      </w:pPr>
    </w:p>
    <w:p w:rsidR="003623D9" w:rsidRPr="004022D9" w:rsidRDefault="008B75B7">
      <w:pPr>
        <w:pStyle w:val="32"/>
        <w:numPr>
          <w:ilvl w:val="2"/>
          <w:numId w:val="1"/>
        </w:numPr>
        <w:ind w:left="0" w:firstLine="0"/>
      </w:pPr>
      <w:bookmarkStart w:id="12" w:name="_Toc51339696"/>
      <w:r w:rsidRPr="004022D9">
        <w:t xml:space="preserve">Требования </w:t>
      </w:r>
      <w:bookmarkEnd w:id="12"/>
      <w:r w:rsidRPr="004022D9">
        <w:t xml:space="preserve">к срокам поставки продукции </w:t>
      </w:r>
      <w:bookmarkEnd w:id="11"/>
    </w:p>
    <w:p w:rsidR="003623D9" w:rsidRPr="004022D9" w:rsidRDefault="003623D9">
      <w:pPr>
        <w:rPr>
          <w:rFonts w:cs="Times New Roman"/>
          <w:szCs w:val="24"/>
          <w:lang w:val="x-none" w:eastAsia="x-none"/>
        </w:rPr>
      </w:pPr>
    </w:p>
    <w:p w:rsidR="003623D9" w:rsidRPr="004022D9" w:rsidRDefault="008B75B7">
      <w:pPr>
        <w:rPr>
          <w:rFonts w:cs="Times New Roman"/>
          <w:szCs w:val="24"/>
          <w:lang w:eastAsia="x-none"/>
        </w:rPr>
      </w:pPr>
      <w:bookmarkStart w:id="13" w:name="_Toc50125127"/>
      <w:bookmarkStart w:id="14" w:name="_Toc51339697"/>
      <w:bookmarkStart w:id="15" w:name="_Toc75446579"/>
      <w:r w:rsidRPr="004022D9">
        <w:rPr>
          <w:rFonts w:cs="Times New Roman"/>
          <w:szCs w:val="24"/>
          <w:lang w:eastAsia="x-none"/>
        </w:rPr>
        <w:t xml:space="preserve">Таблица 2.2 </w:t>
      </w:r>
      <w:bookmarkStart w:id="16" w:name="_Hlk50465284"/>
      <w:r w:rsidRPr="004022D9">
        <w:rPr>
          <w:rFonts w:cs="Times New Roman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 w:rsidRPr="004022D9">
        <w:rPr>
          <w:rFonts w:cs="Times New Roman"/>
          <w:szCs w:val="24"/>
          <w:lang w:eastAsia="x-none"/>
        </w:rPr>
        <w:t>поставки продукции</w:t>
      </w:r>
      <w:bookmarkEnd w:id="15"/>
      <w:r w:rsidRPr="004022D9">
        <w:rPr>
          <w:rFonts w:cs="Times New Roman"/>
          <w:szCs w:val="24"/>
          <w:lang w:eastAsia="x-none"/>
        </w:rPr>
        <w:t xml:space="preserve"> </w:t>
      </w: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264"/>
        <w:gridCol w:w="2703"/>
        <w:gridCol w:w="2827"/>
        <w:gridCol w:w="2840"/>
      </w:tblGrid>
      <w:tr w:rsidR="003623D9" w:rsidRPr="004022D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Наименование продукции / партии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Требования к окончанию срока поставки продукции</w:t>
            </w:r>
          </w:p>
        </w:tc>
      </w:tr>
      <w:tr w:rsidR="003623D9" w:rsidRPr="004022D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4</w:t>
            </w:r>
          </w:p>
        </w:tc>
      </w:tr>
      <w:tr w:rsidR="003623D9" w:rsidRPr="004022D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 w:rsidP="00280919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1.1.-1.</w:t>
            </w:r>
            <w:r w:rsidR="00280919">
              <w:rPr>
                <w:rFonts w:cs="Times New Roman"/>
                <w:szCs w:val="24"/>
              </w:rPr>
              <w:t>7</w:t>
            </w:r>
            <w:r w:rsidRPr="004022D9">
              <w:rPr>
                <w:rFonts w:cs="Times New Roman"/>
                <w:szCs w:val="24"/>
              </w:rPr>
              <w:t>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280919">
            <w:pPr>
              <w:widowControl w:val="0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 w:rsidRPr="00280919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ОКПД2 58.29.32.000 Поставка программного обеспечения системы контроля управления доступом для Нерюнгинской ГРЭС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8B75B7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С даты подписания договора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D9" w:rsidRPr="004022D9" w:rsidRDefault="00280919" w:rsidP="008B5076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течение 5 рабочих дней с даты подписания договора</w:t>
            </w:r>
          </w:p>
        </w:tc>
      </w:tr>
    </w:tbl>
    <w:p w:rsidR="003623D9" w:rsidRPr="004022D9" w:rsidRDefault="003623D9">
      <w:pPr>
        <w:rPr>
          <w:rFonts w:cs="Times New Roman"/>
          <w:szCs w:val="24"/>
        </w:rPr>
        <w:sectPr w:rsidR="003623D9" w:rsidRPr="004022D9">
          <w:footerReference w:type="default" r:id="rId8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:rsidR="003623D9" w:rsidRPr="004022D9" w:rsidRDefault="008B75B7">
      <w:pPr>
        <w:rPr>
          <w:rFonts w:cs="Times New Roman"/>
          <w:szCs w:val="24"/>
          <w:lang w:eastAsia="x-none"/>
        </w:rPr>
      </w:pPr>
      <w:r w:rsidRPr="004022D9">
        <w:rPr>
          <w:rFonts w:cs="Times New Roman"/>
          <w:szCs w:val="24"/>
          <w:lang w:eastAsia="x-none"/>
        </w:rPr>
        <w:lastRenderedPageBreak/>
        <w:t>Таблица 2.4. Требования к продукции</w:t>
      </w:r>
    </w:p>
    <w:tbl>
      <w:tblPr>
        <w:tblW w:w="14507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838"/>
        <w:gridCol w:w="2730"/>
        <w:gridCol w:w="3085"/>
        <w:gridCol w:w="4166"/>
        <w:gridCol w:w="3688"/>
      </w:tblGrid>
      <w:tr w:rsidR="003623D9" w:rsidRPr="004022D9">
        <w:trPr>
          <w:trHeight w:val="504"/>
        </w:trPr>
        <w:tc>
          <w:tcPr>
            <w:tcW w:w="145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3D9" w:rsidRPr="004022D9" w:rsidRDefault="008B75B7" w:rsidP="00280919">
            <w:pPr>
              <w:keepNext/>
              <w:widowControl w:val="0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 w:rsidRPr="004022D9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</w:t>
            </w:r>
            <w:r w:rsidR="00E208B5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е продукции (позиции № 1.1.-1.</w:t>
            </w:r>
            <w:r w:rsidR="00280919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7</w:t>
            </w:r>
            <w:r w:rsidRPr="004022D9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. Таблицы 2.1): </w:t>
            </w:r>
            <w:r w:rsidR="00280919" w:rsidRPr="00280919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ОКПД2 58.29.32.000 Поставка программного обеспечения системы контроля управления доступом для Нерюнгинской ГРЭС</w:t>
            </w:r>
          </w:p>
        </w:tc>
      </w:tr>
      <w:tr w:rsidR="004022D9" w:rsidRPr="004022D9" w:rsidTr="00A55868">
        <w:trPr>
          <w:trHeight w:val="739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022D9" w:rsidRPr="004022D9" w:rsidRDefault="004022D9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581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022D9" w:rsidRPr="004022D9" w:rsidRDefault="004022D9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bCs/>
                <w:color w:val="000000"/>
                <w:szCs w:val="24"/>
              </w:rPr>
              <w:t>Наименование продукции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022D9" w:rsidRPr="004022D9" w:rsidRDefault="004022D9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bCs/>
                <w:color w:val="000000"/>
                <w:szCs w:val="24"/>
              </w:rPr>
              <w:t>Наименование параметра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2D9" w:rsidRPr="004022D9" w:rsidRDefault="004022D9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bCs/>
                <w:color w:val="000000"/>
                <w:szCs w:val="24"/>
              </w:rPr>
              <w:t>Требование заказчика</w:t>
            </w:r>
          </w:p>
        </w:tc>
      </w:tr>
      <w:tr w:rsidR="004837A3" w:rsidRPr="004022D9" w:rsidTr="00F96E35">
        <w:trPr>
          <w:trHeight w:val="288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Лицензия программного обеспечения</w:t>
            </w:r>
            <w:r w:rsidRPr="004022D9">
              <w:rPr>
                <w:rFonts w:cs="Times New Roman"/>
                <w:szCs w:val="24"/>
              </w:rPr>
              <w:br/>
              <w:t>ISS02AUTO-PREM - SecurOS Auto Lite - Модуль распознавания автомобильных номеров</w:t>
            </w:r>
            <w:r w:rsidRPr="004022D9">
              <w:rPr>
                <w:rFonts w:cs="Times New Roman"/>
                <w:szCs w:val="24"/>
              </w:rPr>
              <w:br/>
              <w:t>(регистрация т/с в парковочном режиме) для систем в редакции SecurOS Premium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Лицензия</w:t>
            </w:r>
          </w:p>
        </w:tc>
      </w:tr>
      <w:tr w:rsidR="004837A3" w:rsidRPr="004022D9" w:rsidTr="00F96E35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распознавания автомобильных номеров</w:t>
            </w:r>
            <w:r w:rsidRPr="004022D9">
              <w:rPr>
                <w:rFonts w:cs="Times New Roman"/>
                <w:szCs w:val="24"/>
              </w:rPr>
              <w:br/>
              <w:t>(регистрация т/с в парковочном режиме)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F96E35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Для систем в редакции SecurOS Premium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397B62">
        <w:trPr>
          <w:trHeight w:val="288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80919">
              <w:rPr>
                <w:rFonts w:cs="Times New Roman"/>
                <w:szCs w:val="24"/>
              </w:rPr>
              <w:t>2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Бастион-2-АРМ оператора» Модуль одного сетевого автоматизированного рабочего</w:t>
            </w:r>
            <w:r w:rsidRPr="004022D9">
              <w:rPr>
                <w:rFonts w:cs="Times New Roman"/>
                <w:szCs w:val="24"/>
              </w:rPr>
              <w:br/>
              <w:t>места (АРМ) оператора системы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Программное обеспечение</w:t>
            </w:r>
          </w:p>
        </w:tc>
      </w:tr>
      <w:tr w:rsidR="004837A3" w:rsidRPr="004022D9" w:rsidTr="00397B62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одного сетевого автоматизированного рабочего</w:t>
            </w:r>
            <w:r w:rsidRPr="004022D9">
              <w:rPr>
                <w:rFonts w:cs="Times New Roman"/>
                <w:szCs w:val="24"/>
              </w:rPr>
              <w:br/>
              <w:t>места (АРМ) оператора системы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191683">
        <w:trPr>
          <w:trHeight w:val="288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80919">
              <w:rPr>
                <w:rFonts w:cs="Times New Roman"/>
                <w:szCs w:val="24"/>
              </w:rPr>
              <w:t>3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Web-заявка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Программное обеспечение</w:t>
            </w:r>
          </w:p>
        </w:tc>
      </w:tr>
      <w:tr w:rsidR="004837A3" w:rsidRPr="004022D9" w:rsidTr="00191683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Web-заявка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8D6761">
        <w:trPr>
          <w:trHeight w:val="288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80919">
              <w:rPr>
                <w:rFonts w:cs="Times New Roman"/>
                <w:szCs w:val="24"/>
              </w:rPr>
              <w:t>4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SecurOS+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Программное обеспечение</w:t>
            </w:r>
          </w:p>
        </w:tc>
      </w:tr>
      <w:tr w:rsidR="004837A3" w:rsidRPr="004022D9" w:rsidTr="008D6761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SecurOS+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5D4DF4">
        <w:trPr>
          <w:trHeight w:val="288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80919">
              <w:rPr>
                <w:rFonts w:cs="Times New Roman"/>
                <w:szCs w:val="24"/>
              </w:rPr>
              <w:t>5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Водитель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Программное обеспечение</w:t>
            </w:r>
          </w:p>
        </w:tc>
      </w:tr>
      <w:tr w:rsidR="004837A3" w:rsidRPr="004022D9" w:rsidTr="005D4DF4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Водитель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F647E6">
        <w:trPr>
          <w:trHeight w:val="288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80919">
              <w:rPr>
                <w:rFonts w:cs="Times New Roman"/>
                <w:szCs w:val="24"/>
              </w:rPr>
              <w:t>6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МТП</w:t>
            </w: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Тип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Программное обеспечение</w:t>
            </w:r>
          </w:p>
        </w:tc>
      </w:tr>
      <w:tr w:rsidR="004837A3" w:rsidRPr="004022D9" w:rsidTr="00F647E6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Модуль расширения функциональности Бастион-2 – МТП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afffff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Да</w:t>
            </w:r>
          </w:p>
        </w:tc>
      </w:tr>
      <w:tr w:rsidR="004837A3" w:rsidRPr="004022D9" w:rsidTr="00EB4BCF">
        <w:trPr>
          <w:trHeight w:val="156"/>
        </w:trPr>
        <w:tc>
          <w:tcPr>
            <w:tcW w:w="838" w:type="dxa"/>
            <w:vMerge w:val="restart"/>
            <w:tcBorders>
              <w:left w:val="single" w:sz="2" w:space="0" w:color="000000"/>
            </w:tcBorders>
            <w:vAlign w:val="center"/>
          </w:tcPr>
          <w:p w:rsidR="004837A3" w:rsidRDefault="004837A3" w:rsidP="00280919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280919">
              <w:rPr>
                <w:rFonts w:cs="Times New Roman"/>
                <w:szCs w:val="24"/>
              </w:rPr>
              <w:t>7</w:t>
            </w:r>
          </w:p>
        </w:tc>
        <w:tc>
          <w:tcPr>
            <w:tcW w:w="5815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:rsidR="004837A3" w:rsidRDefault="004837A3" w:rsidP="004837A3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color w:val="000000"/>
              </w:rPr>
              <w:t>Модуль интеграции системы "Бастион-2 – SecurOS"</w:t>
            </w:r>
          </w:p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</w:rPr>
              <w:t>Программное обеспечение</w:t>
            </w:r>
          </w:p>
        </w:tc>
      </w:tr>
      <w:tr w:rsidR="004837A3" w:rsidRPr="004022D9" w:rsidTr="007153F8">
        <w:trPr>
          <w:trHeight w:val="156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81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4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  <w:jc w:val="center"/>
            </w:pPr>
            <w:bookmarkStart w:id="17" w:name="_GoBack"/>
            <w:bookmarkEnd w:id="17"/>
            <w:r>
              <w:rPr>
                <w:color w:val="000000"/>
                <w:sz w:val="22"/>
                <w:szCs w:val="22"/>
              </w:rPr>
              <w:t>Модуль расширения функциональности </w:t>
            </w:r>
            <w:r>
              <w:rPr>
                <w:color w:val="000000"/>
              </w:rPr>
              <w:t>"Бастион-2 – SecurOS"</w:t>
            </w:r>
          </w:p>
        </w:tc>
        <w:tc>
          <w:tcPr>
            <w:tcW w:w="36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Default="004837A3" w:rsidP="004837A3">
            <w:pPr>
              <w:pStyle w:val="affffa"/>
              <w:widowControl w:val="0"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136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Место поставки</w:t>
            </w:r>
          </w:p>
        </w:tc>
        <w:tc>
          <w:tcPr>
            <w:tcW w:w="109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678995, Российская Федерация, Республика Саха (Якутия), г. Нерюнгри, гп. Серебряный Бор, производственная площадка Нерюнгринской ГРЭС.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2.2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Приемка продукции</w:t>
            </w:r>
          </w:p>
        </w:tc>
        <w:tc>
          <w:tcPr>
            <w:tcW w:w="109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2.3</w:t>
            </w:r>
          </w:p>
        </w:tc>
        <w:tc>
          <w:tcPr>
            <w:tcW w:w="136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 w:rsidRPr="004022D9">
              <w:rPr>
                <w:rFonts w:cs="Times New Roman"/>
                <w:b/>
                <w:szCs w:val="24"/>
              </w:rPr>
              <w:t xml:space="preserve"> </w:t>
            </w:r>
            <w:r w:rsidRPr="004022D9">
              <w:rPr>
                <w:rFonts w:cs="Times New Roman"/>
                <w:szCs w:val="24"/>
              </w:rPr>
              <w:t xml:space="preserve">по тел. </w:t>
            </w:r>
            <w:r w:rsidRPr="004022D9">
              <w:rPr>
                <w:rFonts w:cs="Times New Roman"/>
                <w:szCs w:val="24"/>
                <w:u w:val="single"/>
              </w:rPr>
              <w:t>89134473508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136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pStyle w:val="Standard"/>
              <w:widowControl w:val="0"/>
              <w:rPr>
                <w:szCs w:val="24"/>
              </w:rPr>
            </w:pPr>
            <w:r w:rsidRPr="004022D9">
              <w:rPr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3.1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Сроки гарантии</w:t>
            </w:r>
          </w:p>
        </w:tc>
        <w:tc>
          <w:tcPr>
            <w:tcW w:w="109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Не менее 36 (тридцати шести)) месяцев,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136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4.1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</w:t>
            </w:r>
            <w:r>
              <w:rPr>
                <w:rFonts w:cs="Times New Roman"/>
                <w:szCs w:val="24"/>
              </w:rPr>
              <w:t xml:space="preserve"> </w:t>
            </w:r>
            <w:r w:rsidRPr="004022D9">
              <w:rPr>
                <w:rFonts w:cs="Times New Roman"/>
                <w:szCs w:val="24"/>
              </w:rPr>
              <w:t>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 w:rsidRPr="004022D9">
              <w:rPr>
                <w:rFonts w:cs="Times New Roman"/>
                <w:bCs/>
                <w:iCs/>
                <w:szCs w:val="24"/>
              </w:rPr>
              <w:t>, транспортную накладную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</w:rPr>
              <w:t>5.</w:t>
            </w:r>
          </w:p>
        </w:tc>
        <w:tc>
          <w:tcPr>
            <w:tcW w:w="136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4837A3" w:rsidRPr="004022D9">
        <w:trPr>
          <w:trHeight w:val="276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5.1</w:t>
            </w:r>
          </w:p>
        </w:tc>
        <w:tc>
          <w:tcPr>
            <w:tcW w:w="136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7A3" w:rsidRPr="004022D9" w:rsidRDefault="004837A3" w:rsidP="004837A3">
            <w:pPr>
              <w:widowControl w:val="0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szCs w:val="24"/>
              </w:rPr>
              <w:t>Продукция должна быть новой, ранее не использовавшейся.</w:t>
            </w:r>
          </w:p>
          <w:p w:rsidR="004837A3" w:rsidRPr="004022D9" w:rsidRDefault="004837A3" w:rsidP="004837A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Cs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4837A3" w:rsidRPr="004022D9" w:rsidRDefault="004837A3" w:rsidP="004837A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022D9">
              <w:rPr>
                <w:rFonts w:cs="Times New Roman"/>
                <w:bCs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3623D9" w:rsidRPr="004022D9" w:rsidRDefault="003623D9">
      <w:pPr>
        <w:rPr>
          <w:rFonts w:cs="Times New Roman"/>
          <w:szCs w:val="24"/>
        </w:rPr>
      </w:pPr>
    </w:p>
    <w:sectPr w:rsidR="003623D9" w:rsidRPr="004022D9">
      <w:footerReference w:type="default" r:id="rId9"/>
      <w:footerReference w:type="first" r:id="rId10"/>
      <w:pgSz w:w="16838" w:h="11906" w:orient="landscape"/>
      <w:pgMar w:top="407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BB" w:rsidRDefault="008B75B7">
      <w:r>
        <w:separator/>
      </w:r>
    </w:p>
  </w:endnote>
  <w:endnote w:type="continuationSeparator" w:id="0">
    <w:p w:rsidR="006A1EBB" w:rsidRDefault="008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D9" w:rsidRDefault="008B75B7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80919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280919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D9" w:rsidRDefault="008B75B7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80919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280919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D9" w:rsidRDefault="003623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BB" w:rsidRDefault="008B75B7">
      <w:r>
        <w:separator/>
      </w:r>
    </w:p>
  </w:footnote>
  <w:footnote w:type="continuationSeparator" w:id="0">
    <w:p w:rsidR="006A1EBB" w:rsidRDefault="008B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E26"/>
    <w:multiLevelType w:val="multilevel"/>
    <w:tmpl w:val="4C4ECB2A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5512C"/>
    <w:multiLevelType w:val="multilevel"/>
    <w:tmpl w:val="800A7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1264A3"/>
    <w:multiLevelType w:val="multilevel"/>
    <w:tmpl w:val="FB2C59E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5447BAF"/>
    <w:multiLevelType w:val="multilevel"/>
    <w:tmpl w:val="771AAFF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0700CB8"/>
    <w:multiLevelType w:val="multilevel"/>
    <w:tmpl w:val="4704E4F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66313EF5"/>
    <w:multiLevelType w:val="multilevel"/>
    <w:tmpl w:val="1146F01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AB15F14"/>
    <w:multiLevelType w:val="multilevel"/>
    <w:tmpl w:val="9FC82AD6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3D9"/>
    <w:rsid w:val="00280919"/>
    <w:rsid w:val="003623D9"/>
    <w:rsid w:val="004022D9"/>
    <w:rsid w:val="004837A3"/>
    <w:rsid w:val="004B127F"/>
    <w:rsid w:val="006A1EBB"/>
    <w:rsid w:val="0077463A"/>
    <w:rsid w:val="00897409"/>
    <w:rsid w:val="008B5076"/>
    <w:rsid w:val="008B75B7"/>
    <w:rsid w:val="00A66E58"/>
    <w:rsid w:val="00D2145A"/>
    <w:rsid w:val="00E208B5"/>
    <w:rsid w:val="00E661E0"/>
    <w:rsid w:val="00F9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7F6C"/>
  <w15:docId w15:val="{860824B3-22FA-412E-946E-E3F57ABA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qFormat/>
    <w:rPr>
      <w:b/>
      <w:bCs/>
    </w:rPr>
  </w:style>
  <w:style w:type="character" w:customStyle="1" w:styleId="afd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qFormat/>
    <w:rPr>
      <w:i/>
      <w:iCs/>
      <w:color w:val="808080"/>
    </w:rPr>
  </w:style>
  <w:style w:type="character" w:styleId="aff4">
    <w:name w:val="Intense Emphasis"/>
    <w:qFormat/>
    <w:rPr>
      <w:b/>
      <w:bCs/>
      <w:i/>
      <w:iCs/>
      <w:color w:val="4F81BD"/>
    </w:rPr>
  </w:style>
  <w:style w:type="character" w:styleId="aff5">
    <w:name w:val="Subtle Reference"/>
    <w:qFormat/>
    <w:rPr>
      <w:smallCaps/>
      <w:color w:val="C0504D"/>
      <w:u w:val="single"/>
    </w:rPr>
  </w:style>
  <w:style w:type="character" w:styleId="af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b">
    <w:name w:val="Абзац списка Знак"/>
    <w:link w:val="affc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afff3">
    <w:name w:val="Текст Знак"/>
    <w:basedOn w:val="a4"/>
    <w:link w:val="afff4"/>
    <w:qFormat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</w:style>
  <w:style w:type="character" w:customStyle="1" w:styleId="extended-textshort">
    <w:name w:val="extended-text__short"/>
    <w:qFormat/>
  </w:style>
  <w:style w:type="character" w:styleId="afff5">
    <w:name w:val="FollowedHyperlink"/>
    <w:rPr>
      <w:color w:val="800080"/>
      <w:u w:val="single"/>
    </w:rPr>
  </w:style>
  <w:style w:type="character" w:customStyle="1" w:styleId="productcode">
    <w:name w:val="product_code"/>
    <w:qFormat/>
  </w:style>
  <w:style w:type="character" w:customStyle="1" w:styleId="add-data-value">
    <w:name w:val="add-data-value"/>
    <w:basedOn w:val="a4"/>
    <w:qFormat/>
  </w:style>
  <w:style w:type="character" w:customStyle="1" w:styleId="extendedtext-short">
    <w:name w:val="extendedtext-short"/>
    <w:qFormat/>
  </w:style>
  <w:style w:type="character" w:customStyle="1" w:styleId="afff6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7">
    <w:name w:val="Strong"/>
    <w:qFormat/>
    <w:rPr>
      <w:b/>
      <w:bCs/>
    </w:rPr>
  </w:style>
  <w:style w:type="paragraph" w:styleId="afff8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9">
    <w:name w:val="List"/>
    <w:basedOn w:val="af3"/>
  </w:style>
  <w:style w:type="paragraph" w:styleId="afffa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b">
    <w:name w:val="index heading"/>
    <w:basedOn w:val="afff8"/>
  </w:style>
  <w:style w:type="paragraph" w:customStyle="1" w:styleId="caption1">
    <w:name w:val="caption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8"/>
    <w:qFormat/>
  </w:style>
  <w:style w:type="paragraph" w:customStyle="1" w:styleId="a1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d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d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f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f0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f1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3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">
    <w:name w:val="Subtitle"/>
    <w:basedOn w:val="a3"/>
    <w:next w:val="a3"/>
    <w:link w:val="afe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qFormat/>
    <w:rPr>
      <w:rFonts w:cs="Times New Roman"/>
      <w:szCs w:val="24"/>
      <w:lang w:val="x-none" w:eastAsia="x-none"/>
    </w:rPr>
  </w:style>
  <w:style w:type="paragraph" w:customStyle="1" w:styleId="affff5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6">
    <w:name w:val="Revision"/>
    <w:qFormat/>
    <w:pPr>
      <w:overflowPunct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7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8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9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a">
    <w:name w:val="Normal (Web)"/>
    <w:basedOn w:val="a3"/>
    <w:uiPriority w:val="99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c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b">
    <w:name w:val="Знак Знак Знак 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e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qFormat/>
    <w:rPr>
      <w:rFonts w:ascii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pPr>
      <w:widowControl w:val="0"/>
      <w:overflowPunct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c">
    <w:name w:val="Стиль1"/>
    <w:qFormat/>
  </w:style>
  <w:style w:type="numbering" w:customStyle="1" w:styleId="2f0">
    <w:name w:val="Стиль2"/>
    <w:qFormat/>
  </w:style>
  <w:style w:type="numbering" w:customStyle="1" w:styleId="1d">
    <w:name w:val="Нет списка1"/>
    <w:qFormat/>
  </w:style>
  <w:style w:type="paragraph" w:customStyle="1" w:styleId="docdata">
    <w:name w:val="docdata"/>
    <w:aliases w:val="docy,v5,1035,bqiaagaaeyqcaaagiaiaaanlawaabvkdaaaaaaaaaaaaaaaaaaaaaaaaaaaaaaaaaaaaaaaaaaaaaaaaaaaaaaaaaaaaaaaaaaaaaaaaaaaaaaaaaaaaaaaaaaaaaaaaaaaaaaaaaaaaaaaaaaaaaaaaaaaaaaaaaaaaaaaaaaaaaaaaaaaaaaaaaaaaaaaaaaaaaaaaaaaaaaaaaaaaaaaaaaaaaaaaaaaaaaaa"/>
    <w:basedOn w:val="a3"/>
    <w:rsid w:val="004837A3"/>
    <w:pPr>
      <w:suppressAutoHyphens w:val="0"/>
      <w:overflowPunct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617A-5487-409E-9ACB-941D8168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Карасева Мария Владимировна</cp:lastModifiedBy>
  <cp:revision>240</cp:revision>
  <cp:lastPrinted>2023-05-16T09:29:00Z</cp:lastPrinted>
  <dcterms:created xsi:type="dcterms:W3CDTF">2023-05-16T09:21:00Z</dcterms:created>
  <dcterms:modified xsi:type="dcterms:W3CDTF">2026-05-06T14:11:00Z</dcterms:modified>
  <dc:language>ru-RU</dc:language>
</cp:coreProperties>
</file>