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spacing w:before="0" w:after="0"/>
        <w:ind w:left="0" w:hanging="0"/>
        <w:contextualSpacing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caps/>
        </w:rPr>
      </w:pPr>
      <w:r>
        <w:rPr>
          <w:rFonts w:eastAsia="Calibri"/>
          <w:b/>
          <w:caps/>
        </w:rPr>
        <w:t>Запрос технико-коммерческих предложений</w:t>
      </w:r>
    </w:p>
    <w:p>
      <w:pPr>
        <w:pStyle w:val="Normal"/>
        <w:keepNext w:val="true"/>
        <w:keepLines/>
        <w:jc w:val="center"/>
        <w:rPr>
          <w:rFonts w:eastAsia="Calibri"/>
          <w:b/>
          <w:caps/>
        </w:rPr>
      </w:pPr>
      <w:r>
        <w:rPr>
          <w:rFonts w:eastAsia="Calibri"/>
          <w:b/>
          <w:caps/>
        </w:rPr>
        <w:t xml:space="preserve">для проведения мониторинга цен </w:t>
      </w:r>
    </w:p>
    <w:p>
      <w:pPr>
        <w:pStyle w:val="Normal"/>
        <w:keepNext w:val="true"/>
        <w:keepLines/>
        <w:jc w:val="center"/>
        <w:rPr>
          <w:rFonts w:eastAsia="Calibri"/>
          <w:b/>
          <w:caps/>
        </w:rPr>
      </w:pPr>
      <w:r>
        <w:rPr>
          <w:rFonts w:eastAsia="Calibri"/>
          <w:b/>
          <w:caps/>
        </w:rPr>
        <w:t xml:space="preserve"> </w:t>
      </w:r>
      <w:r>
        <w:rPr>
          <w:rFonts w:eastAsia="Calibri" w:cs="Times New Roman"/>
          <w:b/>
          <w:i w:val="false"/>
          <w:iCs w:val="false"/>
          <w:caps/>
          <w:sz w:val="26"/>
          <w:szCs w:val="26"/>
        </w:rPr>
        <w:t>ОКПД2 58.19.13 «Поставка полиграфической продукции для нужд АО «Ленгидропроект»»</w:t>
      </w:r>
    </w:p>
    <w:p>
      <w:pPr>
        <w:pStyle w:val="Normal"/>
        <w:keepNext w:val="true"/>
        <w:keepLines/>
        <w:jc w:val="center"/>
        <w:rPr>
          <w:b/>
        </w:rPr>
      </w:pPr>
      <w:r>
        <w:rPr>
          <w:b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jc w:val="both"/>
        <w:rPr/>
      </w:pPr>
      <w:r>
        <w:rPr/>
        <w:tab/>
        <w:t>АО «Ленгидропроект» (далее – Заказчик) сообщает о проведении анализа технико-коммерческих предложений потенциальных поставщиков «</w:t>
      </w:r>
      <w:r>
        <w:rPr>
          <w:rFonts w:eastAsia="Calibri" w:cs="Times New Roman"/>
          <w:b w:val="false"/>
          <w:bCs w:val="false"/>
          <w:i w:val="false"/>
          <w:iCs w:val="false"/>
          <w:sz w:val="26"/>
          <w:szCs w:val="26"/>
        </w:rPr>
        <w:t>ОКПД2 58.19.13 Поставка полиграфической продукции для нужд АО «Ленгидропроект»».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jc w:val="both"/>
        <w:rPr/>
      </w:pPr>
      <w:r>
        <w:rPr/>
        <w:t>Подробные требования к продукции (в том числе, сведения об объеме, месте, сроках оказываемых услуг) приведены в Технических требованиях настоящего мониторинга (запроса).</w:t>
      </w:r>
    </w:p>
    <w:p>
      <w:pPr>
        <w:pStyle w:val="Normal"/>
        <w:numPr>
          <w:ilvl w:val="0"/>
          <w:numId w:val="3"/>
        </w:numPr>
        <w:spacing w:before="60" w:after="60"/>
        <w:ind w:left="0" w:hanging="0"/>
        <w:jc w:val="both"/>
        <w:rPr/>
      </w:pPr>
      <w:r>
        <w:rPr/>
        <w:t>Настоящий запрос не является публичной офертой и не влечет за собой возникновения каких-либо обязательств для Заказчика. Рассмотрение Заказчиком поступивших технико-коммерческих предложений не предполагает какого-либо информирования (в т.ч. публичного) лиц, подавших такие предложения, а также любых иных лиц о результатах произведенного рассмотрения.</w:t>
      </w:r>
    </w:p>
    <w:p>
      <w:pPr>
        <w:pStyle w:val="Normal"/>
        <w:numPr>
          <w:ilvl w:val="0"/>
          <w:numId w:val="3"/>
        </w:numPr>
        <w:spacing w:before="60" w:after="60"/>
        <w:ind w:left="0" w:hanging="0"/>
        <w:jc w:val="both"/>
        <w:rPr/>
      </w:pPr>
      <w:r>
        <w:rPr/>
        <w:t>Ответ с технико-коммерческим предложением должен быть оформлен на официальном бланке по форме приложения №1 к Техническим требованиям и</w:t>
      </w:r>
      <w:r>
        <w:rPr>
          <w:lang w:val="en-US"/>
        </w:rPr>
        <w:t> </w:t>
      </w:r>
      <w:r>
        <w:rPr/>
        <w:t>заверен подписью уполномоченного лица, а также печатью организации (при</w:t>
      </w:r>
      <w:r>
        <w:rPr>
          <w:lang w:val="en-US"/>
        </w:rPr>
        <w:t> </w:t>
      </w:r>
      <w:r>
        <w:rPr/>
        <w:t>наличии), и в обязательном порядке содержать следующую информацию: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567" w:leader="none"/>
        </w:tabs>
        <w:spacing w:before="60" w:after="60"/>
        <w:ind w:left="567" w:hanging="567"/>
        <w:jc w:val="both"/>
        <w:rPr/>
      </w:pPr>
      <w:r>
        <w:rPr/>
        <w:t>дату направления предложения;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567" w:leader="none"/>
        </w:tabs>
        <w:spacing w:before="60" w:after="60"/>
        <w:ind w:left="567" w:hanging="567"/>
        <w:jc w:val="both"/>
        <w:rPr/>
      </w:pPr>
      <w:r>
        <w:rPr/>
        <w:t>полное наименование организации, с указанием организационно-правовой формы (для юридических лиц);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567" w:leader="none"/>
        </w:tabs>
        <w:spacing w:before="60" w:after="60"/>
        <w:ind w:left="567" w:hanging="567"/>
        <w:jc w:val="both"/>
        <w:rPr/>
      </w:pPr>
      <w:r>
        <w:rPr/>
        <w:t xml:space="preserve">юридический адрес, почтовый адрес, ИНН </w:t>
      </w:r>
      <w:r>
        <w:rPr>
          <w:i/>
          <w:shd w:fill="FFFF99" w:val="clear"/>
        </w:rPr>
        <w:t>[для юридических лиц]</w:t>
      </w:r>
      <w:r>
        <w:rPr>
          <w:i/>
        </w:rPr>
        <w:t xml:space="preserve"> / </w:t>
      </w:r>
      <w:r>
        <w:rPr/>
        <w:t xml:space="preserve">паспортные данные, адрес регистрации, ИНН (при наличии) </w:t>
      </w:r>
      <w:r>
        <w:rPr>
          <w:i/>
          <w:shd w:fill="FFFF99" w:val="clear"/>
        </w:rPr>
        <w:t>[для физических лиц]</w:t>
      </w:r>
      <w:r>
        <w:rPr>
          <w:i/>
        </w:rPr>
        <w:t>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567" w:leader="none"/>
        </w:tabs>
        <w:spacing w:before="60" w:after="60"/>
        <w:ind w:left="567" w:hanging="567"/>
        <w:jc w:val="both"/>
        <w:rPr/>
      </w:pPr>
      <w:r>
        <w:rPr/>
        <w:t xml:space="preserve">контактные данные: номер телефона, </w:t>
      </w:r>
      <w:r>
        <w:rPr>
          <w:lang w:val="en-US"/>
        </w:rPr>
        <w:t>e</w:t>
      </w:r>
      <w:r>
        <w:rPr/>
        <w:t>-</w:t>
      </w:r>
      <w:r>
        <w:rPr>
          <w:lang w:val="en-US"/>
        </w:rPr>
        <w:t>mail</w:t>
      </w:r>
      <w:r>
        <w:rPr/>
        <w:t>, ФИО контактного лица;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567" w:leader="none"/>
        </w:tabs>
        <w:spacing w:before="60" w:after="60"/>
        <w:ind w:left="567" w:hanging="567"/>
        <w:jc w:val="both"/>
        <w:rPr/>
      </w:pPr>
      <w:r>
        <w:rPr/>
        <w:t>цену предложения в рублях (без учета НДС).</w:t>
      </w:r>
    </w:p>
    <w:p>
      <w:pPr>
        <w:pStyle w:val="Normal"/>
        <w:numPr>
          <w:ilvl w:val="0"/>
          <w:numId w:val="3"/>
        </w:numPr>
        <w:spacing w:before="60" w:after="60"/>
        <w:ind w:left="567" w:hanging="567"/>
        <w:jc w:val="both"/>
        <w:rPr/>
      </w:pPr>
      <w:r>
        <w:rPr/>
        <w:t>Срок подачи технико-коммерческих предложений: до 10.00 14.05.2026г.</w:t>
      </w:r>
    </w:p>
    <w:p>
      <w:pPr>
        <w:pStyle w:val="Normal"/>
        <w:numPr>
          <w:ilvl w:val="0"/>
          <w:numId w:val="3"/>
        </w:numPr>
        <w:spacing w:before="60" w:after="60"/>
        <w:ind w:left="0" w:hanging="0"/>
        <w:jc w:val="both"/>
        <w:rPr/>
      </w:pPr>
      <w:r>
        <w:rPr/>
        <w:t xml:space="preserve">Предложения должны быть направлены путем загрузки на ЭТП и в виде сканированной электронной копии в адрес ответственного лица: </w:t>
      </w:r>
      <w:hyperlink r:id="rId2" w:tgtFrame="_blank">
        <w:r>
          <w:rPr>
            <w:rStyle w:val="Hyperlink"/>
            <w:rFonts w:ascii="Helvetica Neue;Helvetica;Arial;" w:hAnsi="Helvetica Neue;Helvetica;Arial;"/>
            <w:color w:val="000000"/>
            <w:sz w:val="21"/>
            <w:u w:val="none"/>
          </w:rPr>
          <w:t>StepanovaTV@lhp.ru</w:t>
        </w:r>
      </w:hyperlink>
      <w:r>
        <w:rPr>
          <w:color w:val="000000"/>
        </w:rPr>
        <w:t>,</w:t>
      </w:r>
      <w:r>
        <w:rPr/>
        <w:t xml:space="preserve"> рабочий телефон: +7 (812) 395-29-00.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suppressAutoHyphens w:val="false"/>
        <w:spacing w:before="60" w:after="60"/>
        <w:ind w:left="0" w:hanging="0"/>
        <w:jc w:val="both"/>
        <w:rPr/>
      </w:pPr>
      <w:bookmarkStart w:id="0" w:name="_GoBack"/>
      <w:r>
        <w:rPr/>
        <w:t>Технико-коммерческие предложения участниками мониторинга должны быть поданы в соответствии с установленными Заказчиком требованиями проведения мониторинга.</w:t>
      </w:r>
      <w:bookmarkEnd w:id="0"/>
    </w:p>
    <w:p>
      <w:pPr>
        <w:pStyle w:val="Normal"/>
        <w:spacing w:before="60" w:after="60"/>
        <w:jc w:val="both"/>
        <w:rPr/>
      </w:pPr>
      <w:r>
        <w:rPr/>
      </w:r>
    </w:p>
    <w:p>
      <w:pPr>
        <w:pStyle w:val="Normal"/>
        <w:spacing w:before="60" w:after="60"/>
        <w:jc w:val="both"/>
        <w:rPr/>
      </w:pPr>
      <w:r>
        <w:rPr/>
      </w:r>
    </w:p>
    <w:p>
      <w:pPr>
        <w:pStyle w:val="Normal"/>
        <w:jc w:val="center"/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</w:r>
    </w:p>
    <w:p>
      <w:pPr>
        <w:pStyle w:val="Normal"/>
        <w:jc w:val="center"/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</w:r>
    </w:p>
    <w:p>
      <w:pPr>
        <w:pStyle w:val="Normal"/>
        <w:jc w:val="center"/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</w:r>
    </w:p>
    <w:p>
      <w:pPr>
        <w:pStyle w:val="Normal"/>
        <w:keepNext w:val="true"/>
        <w:keepLines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для проведения мониторинга цен</w:t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eastAsia="Calibri" w:cs="Times New Roman"/>
          <w:i w:val="false"/>
          <w:i w:val="false"/>
          <w:iCs w:val="false"/>
        </w:rPr>
      </w:pPr>
      <w:r>
        <w:rPr>
          <w:rFonts w:eastAsia="Calibri" w:cs="Times New Roman"/>
          <w:b/>
          <w:i w:val="false"/>
          <w:iCs w:val="false"/>
          <w:sz w:val="26"/>
          <w:szCs w:val="26"/>
        </w:rPr>
        <w:t xml:space="preserve">«ОКПД2 58.19.13 Поставка полиграфической продукции для нужд 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rFonts w:eastAsia="Calibri" w:cs="Times New Roman"/>
          <w:i w:val="false"/>
          <w:i w:val="false"/>
          <w:iCs w:val="false"/>
        </w:rPr>
      </w:pPr>
      <w:r>
        <w:rPr>
          <w:rFonts w:eastAsia="Calibri" w:cs="Times New Roman"/>
          <w:b/>
          <w:i w:val="false"/>
          <w:iCs w:val="false"/>
          <w:sz w:val="26"/>
          <w:szCs w:val="26"/>
        </w:rPr>
        <w:t>АО «Ленгидропроект»»</w:t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560" w:leader="none"/>
        </w:tabs>
        <w:spacing w:before="0" w:after="0"/>
        <w:ind w:left="851" w:right="142" w:hanging="0"/>
        <w:contextualSpacing/>
        <w:jc w:val="center"/>
        <w:outlineLvl w:val="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  <w:r>
        <w:br w:type="page"/>
      </w:r>
    </w:p>
    <w:p>
      <w:pPr>
        <w:pStyle w:val="Heading1"/>
        <w:keepLines/>
        <w:numPr>
          <w:ilvl w:val="0"/>
          <w:numId w:val="2"/>
        </w:numPr>
        <w:ind w:left="357" w:hanging="357"/>
        <w:jc w:val="center"/>
        <w:rPr>
          <w:sz w:val="26"/>
          <w:szCs w:val="26"/>
        </w:rPr>
      </w:pPr>
      <w:bookmarkStart w:id="1" w:name="_Toc75446566"/>
      <w:bookmarkStart w:id="2" w:name="_Toc51339692"/>
      <w:bookmarkStart w:id="3" w:name="_Toc123106593"/>
      <w:bookmarkEnd w:id="1"/>
      <w:bookmarkEnd w:id="2"/>
      <w:bookmarkEnd w:id="3"/>
      <w:r>
        <w:rPr>
          <w:sz w:val="26"/>
          <w:szCs w:val="26"/>
          <w:lang w:val="ru-RU"/>
        </w:rPr>
        <w:t>Общие сведения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851" w:leader="none"/>
        </w:tabs>
        <w:spacing w:lineRule="exact" w:line="360" w:before="0" w:after="0"/>
        <w:ind w:left="0" w:hanging="0"/>
        <w:contextualSpacing/>
        <w:jc w:val="both"/>
        <w:outlineLvl w:val="0"/>
        <w:rPr>
          <w:sz w:val="26"/>
          <w:szCs w:val="26"/>
        </w:rPr>
      </w:pPr>
      <w:bookmarkStart w:id="4" w:name="_Toc123106594"/>
      <w:r>
        <w:rPr>
          <w:b/>
          <w:sz w:val="26"/>
          <w:szCs w:val="26"/>
        </w:rPr>
        <w:t>1.1. Наименование закупаемой продукции.</w:t>
      </w:r>
      <w:bookmarkEnd w:id="4"/>
      <w:r>
        <w:rPr>
          <w:b/>
          <w:sz w:val="26"/>
          <w:szCs w:val="26"/>
        </w:rPr>
        <w:t xml:space="preserve"> 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851" w:leader="none"/>
        </w:tabs>
        <w:spacing w:before="0" w:after="0"/>
        <w:ind w:left="0" w:hanging="0"/>
        <w:contextualSpacing/>
        <w:jc w:val="both"/>
        <w:outlineLvl w:val="0"/>
        <w:rPr>
          <w:i w:val="false"/>
          <w:i w:val="false"/>
          <w:iCs w:val="false"/>
        </w:rPr>
      </w:pPr>
      <w:r>
        <w:rPr>
          <w:rFonts w:eastAsia="Calibri" w:cs="Times New Roman"/>
          <w:i w:val="false"/>
          <w:iCs w:val="false"/>
          <w:sz w:val="26"/>
          <w:szCs w:val="26"/>
        </w:rPr>
        <w:t>ОКПД2 58.19.13 Поставка полиграфической продукции для нужд АО «Ленгидропроект»</w:t>
      </w:r>
      <w:bookmarkStart w:id="5" w:name="_Toc123106595"/>
      <w:r>
        <w:rPr>
          <w:rFonts w:eastAsia="Calibri" w:cs="Times New Roman"/>
          <w:i w:val="false"/>
          <w:iCs w:val="false"/>
          <w:sz w:val="26"/>
          <w:szCs w:val="26"/>
        </w:rPr>
        <w:t>.</w:t>
      </w:r>
      <w:bookmarkEnd w:id="5"/>
    </w:p>
    <w:p>
      <w:pPr>
        <w:pStyle w:val="Normal"/>
        <w:numPr>
          <w:ilvl w:val="0"/>
          <w:numId w:val="0"/>
        </w:numPr>
        <w:tabs>
          <w:tab w:val="clear" w:pos="708"/>
          <w:tab w:val="left" w:pos="851" w:leader="none"/>
        </w:tabs>
        <w:spacing w:lineRule="exact" w:line="360" w:before="0" w:after="0"/>
        <w:ind w:left="0" w:hanging="0"/>
        <w:contextualSpacing/>
        <w:jc w:val="both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851" w:leader="none"/>
        </w:tabs>
        <w:spacing w:before="0" w:after="0"/>
        <w:ind w:left="0" w:hanging="0"/>
        <w:contextualSpacing/>
        <w:jc w:val="both"/>
        <w:outlineLvl w:val="0"/>
        <w:rPr>
          <w:b/>
          <w:sz w:val="26"/>
          <w:szCs w:val="26"/>
        </w:rPr>
      </w:pPr>
      <w:bookmarkStart w:id="6" w:name="_Toc123106596"/>
      <w:r>
        <w:rPr>
          <w:b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bookmarkEnd w:id="6"/>
      <w:r>
        <w:rPr>
          <w:b/>
          <w:sz w:val="26"/>
          <w:szCs w:val="26"/>
        </w:rPr>
        <w:t>Цель использования закупаемой продукции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851" w:leader="none"/>
        </w:tabs>
        <w:spacing w:before="0" w:after="0"/>
        <w:ind w:left="0" w:hanging="0"/>
        <w:contextualSpacing/>
        <w:jc w:val="both"/>
        <w:outlineLvl w:val="0"/>
        <w:rPr/>
      </w:pPr>
      <w:r>
        <w:rPr>
          <w:sz w:val="26"/>
          <w:szCs w:val="26"/>
        </w:rPr>
        <w:t>Поставка производственных календарей ТРИО к 110-летнему юбилею АО «Ленгидропроект» для оснащения рабочего места сотрудников АО «Ленгидропроект».</w:t>
      </w:r>
    </w:p>
    <w:p>
      <w:pPr>
        <w:pStyle w:val="Heading1"/>
        <w:numPr>
          <w:ilvl w:val="0"/>
          <w:numId w:val="2"/>
        </w:numPr>
        <w:ind w:left="567" w:hanging="567"/>
        <w:jc w:val="center"/>
        <w:rPr>
          <w:caps/>
          <w:sz w:val="26"/>
          <w:szCs w:val="26"/>
        </w:rPr>
      </w:pPr>
      <w:bookmarkStart w:id="7" w:name="_Toc54785616"/>
      <w:bookmarkStart w:id="8" w:name="_Toc51921656"/>
      <w:bookmarkStart w:id="9" w:name="_Toc54279835"/>
      <w:bookmarkStart w:id="10" w:name="_Toc123106598"/>
      <w:bookmarkEnd w:id="7"/>
      <w:bookmarkEnd w:id="8"/>
      <w:bookmarkEnd w:id="9"/>
      <w:bookmarkEnd w:id="10"/>
      <w:r>
        <w:rPr>
          <w:sz w:val="26"/>
          <w:szCs w:val="26"/>
        </w:rPr>
        <w:t>Требования к продукции</w:t>
      </w:r>
    </w:p>
    <w:p>
      <w:pPr>
        <w:pStyle w:val="Heading4"/>
        <w:numPr>
          <w:ilvl w:val="1"/>
          <w:numId w:val="2"/>
        </w:numPr>
        <w:ind w:left="0" w:hanging="0"/>
        <w:rPr>
          <w:sz w:val="26"/>
          <w:szCs w:val="26"/>
        </w:rPr>
      </w:pPr>
      <w:bookmarkStart w:id="11" w:name="_Toc54785617"/>
      <w:bookmarkEnd w:id="11"/>
      <w:r>
        <w:rPr>
          <w:sz w:val="26"/>
          <w:szCs w:val="26"/>
        </w:rPr>
        <w:t>Требования к объемам и срокам поставки</w:t>
      </w:r>
    </w:p>
    <w:p>
      <w:pPr>
        <w:pStyle w:val="Heading3"/>
        <w:numPr>
          <w:ilvl w:val="2"/>
          <w:numId w:val="2"/>
        </w:numPr>
        <w:ind w:left="0" w:firstLine="709"/>
        <w:rPr>
          <w:sz w:val="26"/>
          <w:szCs w:val="26"/>
        </w:rPr>
      </w:pPr>
      <w:bookmarkStart w:id="12" w:name="_Toc123106599"/>
      <w:bookmarkStart w:id="13" w:name="_Toc54785618"/>
      <w:bookmarkEnd w:id="12"/>
      <w:bookmarkEnd w:id="13"/>
      <w:r>
        <w:rPr>
          <w:sz w:val="26"/>
          <w:szCs w:val="26"/>
        </w:rPr>
        <w:t>Перечень и объем закупаемой продукции</w:t>
      </w:r>
    </w:p>
    <w:p>
      <w:pPr>
        <w:pStyle w:val="Heading1"/>
        <w:keepLines/>
        <w:numPr>
          <w:ilvl w:val="0"/>
          <w:numId w:val="0"/>
        </w:numPr>
        <w:spacing w:before="240" w:after="0"/>
        <w:ind w:left="0" w:hanging="0"/>
        <w:rPr>
          <w:sz w:val="26"/>
          <w:szCs w:val="26"/>
          <w:lang w:val="ru-RU"/>
        </w:rPr>
      </w:pPr>
      <w:bookmarkStart w:id="14" w:name="_Toc51339695"/>
      <w:bookmarkStart w:id="15" w:name="_Toc123106600"/>
      <w:bookmarkStart w:id="16" w:name="_Toc75446576"/>
      <w:r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1.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Перечень </w:t>
      </w:r>
      <w:bookmarkEnd w:id="14"/>
      <w:bookmarkEnd w:id="15"/>
      <w:bookmarkEnd w:id="16"/>
      <w:r>
        <w:rPr>
          <w:sz w:val="26"/>
          <w:szCs w:val="26"/>
          <w:lang w:val="ru-RU"/>
        </w:rPr>
        <w:t>и объем закупаемой продукции</w:t>
      </w:r>
    </w:p>
    <w:tbl>
      <w:tblPr>
        <w:tblW w:w="9915" w:type="dxa"/>
        <w:jc w:val="left"/>
        <w:tblInd w:w="-5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29"/>
        <w:gridCol w:w="2371"/>
        <w:gridCol w:w="4484"/>
        <w:gridCol w:w="1019"/>
        <w:gridCol w:w="1412"/>
      </w:tblGrid>
      <w:tr>
        <w:trPr/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№</w:t>
            </w:r>
            <w:r>
              <w:rPr>
                <w:lang w:val="en-US" w:eastAsia="x-none"/>
              </w:rPr>
              <w:t xml:space="preserve"> </w:t>
            </w:r>
            <w:r>
              <w:rPr>
                <w:lang w:eastAsia="x-none"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Наименование продукции</w:t>
            </w:r>
          </w:p>
        </w:tc>
        <w:tc>
          <w:tcPr>
            <w:tcW w:w="4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Комплектация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Ед. изм.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Количество</w:t>
            </w:r>
          </w:p>
        </w:tc>
      </w:tr>
      <w:tr>
        <w:trPr/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  <w:tc>
          <w:tcPr>
            <w:tcW w:w="4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3</w:t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</w:tr>
      <w:tr>
        <w:trPr>
          <w:trHeight w:val="908" w:hRule="atLeast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1.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Квартальный (производственный) календарь ТРИО</w:t>
            </w:r>
          </w:p>
        </w:tc>
        <w:tc>
          <w:tcPr>
            <w:tcW w:w="4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rPr/>
            </w:pPr>
            <w:r>
              <w:rPr/>
              <w:t>Квартальный календарь ТРИО – 1 шт.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rPr/>
            </w:pPr>
            <w:r>
              <w:rPr/>
              <w:t>Магнитный курсор (бегунок) – 1 шт.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rPr>
                <w:lang w:eastAsia="x-none"/>
              </w:rPr>
            </w:pPr>
            <w:r>
              <w:rPr/>
              <w:t>Полиэтиленовый пакет – 1 шт.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ind w:left="360" w:hanging="0"/>
              <w:rPr>
                <w:lang w:eastAsia="x-none"/>
              </w:rPr>
            </w:pPr>
            <w:r>
              <w:rPr>
                <w:lang w:eastAsia="x-none"/>
              </w:rPr>
            </w:r>
          </w:p>
        </w:tc>
        <w:tc>
          <w:tcPr>
            <w:tcW w:w="1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шт.</w:t>
            </w:r>
          </w:p>
        </w:tc>
        <w:tc>
          <w:tcPr>
            <w:tcW w:w="1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lang w:eastAsia="x-none"/>
              </w:rPr>
              <w:t>550</w:t>
            </w:r>
          </w:p>
        </w:tc>
      </w:tr>
    </w:tbl>
    <w:p>
      <w:pPr>
        <w:pStyle w:val="Normal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</w:r>
    </w:p>
    <w:p>
      <w:pPr>
        <w:pStyle w:val="Heading3"/>
        <w:numPr>
          <w:ilvl w:val="2"/>
          <w:numId w:val="2"/>
        </w:numPr>
        <w:rPr>
          <w:sz w:val="26"/>
          <w:szCs w:val="26"/>
          <w:lang w:val="ru-RU"/>
        </w:rPr>
      </w:pPr>
      <w:bookmarkStart w:id="17" w:name="_Toc123106601"/>
      <w:bookmarkStart w:id="18" w:name="_Toc75446578"/>
      <w:bookmarkStart w:id="19" w:name="_Toc51339696"/>
      <w:r>
        <w:rPr>
          <w:sz w:val="26"/>
          <w:szCs w:val="26"/>
          <w:lang w:val="ru-RU"/>
        </w:rPr>
        <w:t xml:space="preserve">Требования </w:t>
      </w:r>
      <w:bookmarkEnd w:id="19"/>
      <w:r>
        <w:rPr>
          <w:sz w:val="26"/>
          <w:szCs w:val="26"/>
          <w:lang w:val="ru-RU"/>
        </w:rPr>
        <w:t>к срокам поставки продукции</w:t>
      </w:r>
      <w:bookmarkEnd w:id="17"/>
      <w:bookmarkEnd w:id="18"/>
      <w:r>
        <w:rPr>
          <w:sz w:val="26"/>
          <w:szCs w:val="26"/>
          <w:lang w:val="ru-RU"/>
        </w:rPr>
        <w:t xml:space="preserve"> </w:t>
      </w:r>
    </w:p>
    <w:p>
      <w:pPr>
        <w:pStyle w:val="Heading1"/>
        <w:keepLines/>
        <w:numPr>
          <w:ilvl w:val="0"/>
          <w:numId w:val="0"/>
        </w:numPr>
        <w:spacing w:before="240" w:after="0"/>
        <w:ind w:left="0" w:hanging="0"/>
        <w:rPr>
          <w:highlight w:val="yellow"/>
        </w:rPr>
      </w:pPr>
      <w:bookmarkStart w:id="20" w:name="_Toc75446579"/>
      <w:bookmarkStart w:id="21" w:name="_Toc123106602"/>
      <w:bookmarkStart w:id="22" w:name="_Toc50125127"/>
      <w:bookmarkStart w:id="23" w:name="_Toc51339697"/>
      <w:r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2</w:t>
      </w:r>
      <w:r>
        <w:rPr>
          <w:sz w:val="26"/>
          <w:szCs w:val="26"/>
        </w:rPr>
        <w:t xml:space="preserve">. </w:t>
      </w:r>
      <w:bookmarkStart w:id="24" w:name="_Hlk50465284"/>
      <w:r>
        <w:rPr>
          <w:sz w:val="26"/>
          <w:szCs w:val="26"/>
        </w:rPr>
        <w:t xml:space="preserve">Требования по срокам </w:t>
      </w:r>
      <w:bookmarkEnd w:id="22"/>
      <w:bookmarkEnd w:id="23"/>
      <w:bookmarkEnd w:id="24"/>
      <w:r>
        <w:rPr>
          <w:sz w:val="26"/>
          <w:szCs w:val="26"/>
          <w:lang w:val="ru-RU"/>
        </w:rPr>
        <w:t>поставки продукции</w:t>
      </w:r>
      <w:bookmarkEnd w:id="20"/>
      <w:bookmarkEnd w:id="21"/>
      <w:r>
        <w:rPr>
          <w:sz w:val="26"/>
          <w:szCs w:val="26"/>
          <w:lang w:val="ru-RU"/>
        </w:rPr>
        <w:t xml:space="preserve"> </w:t>
      </w:r>
    </w:p>
    <w:tbl>
      <w:tblPr>
        <w:tblW w:w="5000" w:type="pct"/>
        <w:jc w:val="left"/>
        <w:tblInd w:w="-5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35"/>
        <w:gridCol w:w="2666"/>
        <w:gridCol w:w="3262"/>
        <w:gridCol w:w="3258"/>
      </w:tblGrid>
      <w:tr>
        <w:trPr/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 продукции / партии продукции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Требования к началу срока поставки продукции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Требования к окончанию срока поставки продукции</w:t>
            </w:r>
          </w:p>
        </w:tc>
      </w:tr>
      <w:tr>
        <w:trPr/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Style20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Style20"/>
              <w:keepNext w:val="false"/>
              <w:widowControl w:val="false"/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>
        <w:trPr/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rPr/>
            </w:pPr>
            <w:r>
              <w:rPr/>
              <w:t xml:space="preserve"> </w:t>
            </w:r>
            <w:r>
              <w:rPr/>
              <w:t>1.</w:t>
            </w:r>
          </w:p>
        </w:tc>
        <w:tc>
          <w:tcPr>
            <w:tcW w:w="2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rPr>
                <w:rFonts w:eastAsia="Calibri" w:cs="Times New Roman"/>
                <w:i w:val="false"/>
                <w:i w:val="false"/>
                <w:iCs w:val="false"/>
              </w:rPr>
            </w:pPr>
            <w:r>
              <w:rPr>
                <w:rFonts w:eastAsia="Calibri" w:cs="Times New Roman"/>
                <w:i w:val="false"/>
                <w:iCs w:val="false"/>
              </w:rPr>
              <w:t>ОКПД 2 58.19.13 Поставка полиграфической продукции для нужд АО «Ленгидропроект»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both"/>
              <w:outlineLvl w:val="0"/>
              <w:rPr/>
            </w:pPr>
            <w:r>
              <w:rPr/>
              <w:t>Дата, следующая за датой подписания Договора</w:t>
            </w:r>
          </w:p>
        </w:tc>
        <w:tc>
          <w:tcPr>
            <w:tcW w:w="3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both"/>
              <w:outlineLvl w:val="0"/>
              <w:rPr/>
            </w:pPr>
            <w:r>
              <w:rPr/>
              <w:t>В течение 45 (сорока пяти) рабочих дней с даты, следующей за датой подписания Договора</w:t>
            </w:r>
          </w:p>
        </w:tc>
      </w:tr>
    </w:tbl>
    <w:p>
      <w:pPr>
        <w:sectPr>
          <w:type w:val="nextPage"/>
          <w:pgSz w:w="11906" w:h="16838"/>
          <w:pgMar w:left="1134" w:right="850" w:gutter="0" w:header="0" w:top="993" w:footer="0" w:bottom="993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Heading4"/>
        <w:numPr>
          <w:ilvl w:val="0"/>
          <w:numId w:val="0"/>
        </w:numPr>
        <w:ind w:left="432" w:hanging="0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2.2. </w:t>
      </w:r>
      <w:bookmarkStart w:id="25" w:name="_Toc46743511"/>
      <w:bookmarkStart w:id="26" w:name="_Toc75446581"/>
      <w:r>
        <w:rPr>
          <w:sz w:val="26"/>
          <w:szCs w:val="26"/>
        </w:rPr>
        <w:t xml:space="preserve">Требования к </w:t>
      </w:r>
      <w:bookmarkEnd w:id="25"/>
      <w:bookmarkEnd w:id="26"/>
      <w:r>
        <w:rPr>
          <w:sz w:val="26"/>
          <w:szCs w:val="26"/>
          <w:lang w:val="ru-RU"/>
        </w:rPr>
        <w:t>качеству продукции</w:t>
      </w:r>
    </w:p>
    <w:p>
      <w:pPr>
        <w:pStyle w:val="Heading1"/>
        <w:numPr>
          <w:ilvl w:val="0"/>
          <w:numId w:val="0"/>
        </w:numPr>
        <w:spacing w:before="240" w:after="0"/>
        <w:ind w:left="0" w:hanging="0"/>
        <w:rPr/>
      </w:pPr>
      <w:bookmarkStart w:id="27" w:name="_Toc123106603"/>
      <w:bookmarkStart w:id="28" w:name="_Toc75446582"/>
      <w:r>
        <w:rPr>
          <w:sz w:val="26"/>
          <w:szCs w:val="26"/>
        </w:rPr>
        <w:t>Таблица </w:t>
      </w:r>
      <w:r>
        <w:rPr>
          <w:sz w:val="26"/>
          <w:szCs w:val="26"/>
          <w:lang w:val="ru-RU"/>
        </w:rPr>
        <w:t>3</w:t>
      </w:r>
      <w:r>
        <w:rPr>
          <w:sz w:val="26"/>
          <w:szCs w:val="26"/>
        </w:rPr>
        <w:t xml:space="preserve">. Требования к </w:t>
      </w:r>
      <w:r>
        <w:rPr>
          <w:sz w:val="26"/>
          <w:szCs w:val="26"/>
          <w:lang w:val="ru-RU"/>
        </w:rPr>
        <w:t>продукции</w:t>
      </w:r>
      <w:bookmarkEnd w:id="27"/>
      <w:bookmarkEnd w:id="28"/>
      <w:r>
        <w:rPr>
          <w:sz w:val="26"/>
          <w:szCs w:val="26"/>
        </w:rPr>
        <w:t xml:space="preserve"> </w:t>
      </w:r>
    </w:p>
    <w:p>
      <w:pPr>
        <w:pStyle w:val="Normal"/>
        <w:jc w:val="both"/>
        <w:rPr/>
      </w:pPr>
      <w:r>
        <w:rPr>
          <w:sz w:val="26"/>
          <w:szCs w:val="26"/>
          <w:lang w:eastAsia="x-none"/>
        </w:rPr>
        <w:t xml:space="preserve">Наименование продукции: </w:t>
      </w:r>
      <w:r>
        <w:rPr>
          <w:rFonts w:eastAsia="Calibri" w:cs="Times New Roman"/>
          <w:i w:val="false"/>
          <w:iCs w:val="false"/>
          <w:sz w:val="26"/>
          <w:szCs w:val="26"/>
          <w:lang w:eastAsia="x-none"/>
        </w:rPr>
        <w:t>ОКПД 2 58.19.13 Поставка полиграфической продукции для нужд АО «Ленгидропроект»</w:t>
      </w:r>
    </w:p>
    <w:tbl>
      <w:tblPr>
        <w:tblStyle w:val="af4"/>
        <w:tblW w:w="14505" w:type="dxa"/>
        <w:jc w:val="left"/>
        <w:tblInd w:w="-5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350"/>
        <w:gridCol w:w="1980"/>
        <w:gridCol w:w="7438"/>
        <w:gridCol w:w="1861"/>
        <w:gridCol w:w="1876"/>
      </w:tblGrid>
      <w:tr>
        <w:trPr/>
        <w:tc>
          <w:tcPr>
            <w:tcW w:w="1350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980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7438" w:type="dxa"/>
            <w:vMerge w:val="restart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>Требование заказчика</w:t>
            </w:r>
          </w:p>
        </w:tc>
        <w:tc>
          <w:tcPr>
            <w:tcW w:w="3737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Способ подтверждения участником соответствия требованиям</w:t>
            </w:r>
          </w:p>
        </w:tc>
      </w:tr>
      <w:tr>
        <w:trPr/>
        <w:tc>
          <w:tcPr>
            <w:tcW w:w="135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7438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861" w:type="dxa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Согласие с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требованием/ указание характеристик</w:t>
            </w:r>
          </w:p>
        </w:tc>
        <w:tc>
          <w:tcPr>
            <w:tcW w:w="1876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Предоставление подтверждающего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документа или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kern w:val="0"/>
                <w:sz w:val="20"/>
                <w:szCs w:val="20"/>
                <w:lang w:val="ru-RU" w:bidi="ar-SA"/>
              </w:rPr>
              <w:t>иной способ подтверждения</w:t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1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76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0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861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-//-</w:t>
            </w:r>
          </w:p>
        </w:tc>
        <w:tc>
          <w:tcPr>
            <w:tcW w:w="1876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-//-</w:t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Квартальный (производственный) календарь ТРИО</w:t>
            </w:r>
          </w:p>
        </w:tc>
        <w:tc>
          <w:tcPr>
            <w:tcW w:w="1861" w:type="dxa"/>
            <w:vMerge w:val="restart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sz w:val="20"/>
                <w:szCs w:val="20"/>
                <w:lang w:val="ru-RU" w:bidi="ar-SA"/>
              </w:rPr>
            </w:pPr>
            <w:r>
              <w:rPr>
                <w:kern w:val="0"/>
                <w:sz w:val="20"/>
                <w:szCs w:val="20"/>
                <w:lang w:val="ru-RU" w:bidi="ar-SA"/>
              </w:rPr>
              <w:t>Согласие с требованием</w:t>
            </w:r>
          </w:p>
        </w:tc>
        <w:tc>
          <w:tcPr>
            <w:tcW w:w="1876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0"/>
                <w:szCs w:val="20"/>
                <w:lang w:val="ru-RU" w:bidi="ar-SA"/>
              </w:rPr>
            </w:pPr>
            <w:r>
              <w:rPr>
                <w:kern w:val="0"/>
                <w:sz w:val="20"/>
                <w:szCs w:val="20"/>
                <w:lang w:val="ru-RU" w:bidi="ar-SA"/>
              </w:rPr>
              <w:t>Предоставление ответа на запрос ТКП по форме Приложения № 1 к настоящим техническим требованиям.</w:t>
            </w:r>
          </w:p>
        </w:tc>
      </w:tr>
      <w:tr>
        <w:trPr>
          <w:trHeight w:val="392" w:hRule="atLeast"/>
        </w:trPr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1980" w:type="dxa"/>
            <w:vMerge w:val="restart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Общие параметры</w:t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Шпигель и подложки календаря Трио – индивидуальный дизайн 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75" w:hRule="atLeast"/>
        </w:trPr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Габаритные размеры календаря (ДхШ), мм - 870х350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Габаритные размеры шпигеля (ДхШ), мм - 240х350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Габаритные размеры подложки (рекламных полей) (ДхШ), мм - 210х350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1.1.5</w:t>
            </w:r>
          </w:p>
        </w:tc>
        <w:tc>
          <w:tcPr>
            <w:tcW w:w="1980" w:type="dxa"/>
            <w:vMerge w:val="continue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top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i w:val="false"/>
                <w:iCs w:val="false"/>
                <w:kern w:val="0"/>
                <w:sz w:val="20"/>
                <w:szCs w:val="20"/>
                <w:shd w:fill="FFFFFF" w:val="clear"/>
                <w:lang w:eastAsia="ru-RU"/>
              </w:rPr>
              <w:t xml:space="preserve">Магнитная пластина на второй подложке календаря Трио 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sz w:val="20"/>
                <w:szCs w:val="20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1.1.6.</w:t>
            </w:r>
          </w:p>
        </w:tc>
        <w:tc>
          <w:tcPr>
            <w:tcW w:w="1980" w:type="dxa"/>
            <w:vMerge w:val="continue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top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0"/>
                <w:szCs w:val="20"/>
                <w:u w:val="none"/>
                <w:shd w:fill="FFFFFF" w:val="clear"/>
                <w:lang w:eastAsia="ru-RU"/>
              </w:rPr>
              <w:t xml:space="preserve">Габаритные размеры магнитной пластины (Д*Ш) , мм — не менее 170* 300 и не более размера численника 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sz w:val="20"/>
                <w:szCs w:val="20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 w:val="false"/>
                <w:iCs w:val="false"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1.1.7.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 xml:space="preserve">Габаритные размеры численника (календарного блока)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0"/>
                <w:szCs w:val="20"/>
                <w:u w:val="none"/>
                <w:shd w:fill="FFFFFF" w:val="clear"/>
                <w:lang w:eastAsia="ru-RU"/>
              </w:rPr>
              <w:t xml:space="preserve">(ДхШ), мм: 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0"/>
                <w:szCs w:val="20"/>
                <w:u w:val="none"/>
                <w:shd w:fill="FFFFFF" w:val="clear"/>
                <w:lang w:eastAsia="ru-RU"/>
              </w:rPr>
              <w:t>(180x330)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1.1.8.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Плотность картона для  подложки (рекламного поля) шпигеля,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г/м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 xml:space="preserve">2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– не менее 290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1.1.9.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Плотность мелованной бумаги для численника (календарного блока),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г/м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 xml:space="preserve">2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– не менее 75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tabs>
                <w:tab w:val="clear" w:pos="708"/>
                <w:tab w:val="left" w:pos="851" w:leader="none"/>
                <w:tab w:val="left" w:pos="993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1.1.10.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Ламинация - матовая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1.1.11.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Толщина пленки для ламинирования пленки , мкр – не менее 32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1.1.12.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Печать – полноцветная 4+0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1.1.13.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Цвет спиралей – белый или синий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1.1.14.</w:t>
            </w:r>
          </w:p>
        </w:tc>
        <w:tc>
          <w:tcPr>
            <w:tcW w:w="1980" w:type="dxa"/>
            <w:vMerge w:val="continue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top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Цвет люверса (1 шт.) - серебристый или белый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1.1.15.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Крепление шпигеля, подложки (рекламных полей), численника (календарного блока) на спираль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Магнитный курсор (бегунок)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1980" w:type="dxa"/>
            <w:vMerge w:val="restart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Общие параметры</w:t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Материал: пластик,неодимовые магниты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Форма - круглая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605" w:hRule="atLeast"/>
        </w:trPr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/>
            </w:r>
          </w:p>
        </w:tc>
        <w:tc>
          <w:tcPr>
            <w:tcW w:w="1980" w:type="dxa"/>
            <w:vMerge w:val="continue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top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  <w:highlight w:val="none"/>
                <w:shd w:fill="FFFFFF" w:val="clear"/>
              </w:rPr>
            </w:pPr>
            <w:r>
              <w:rPr>
                <w:sz w:val="20"/>
                <w:szCs w:val="20"/>
                <w:shd w:fill="FFFFFF" w:val="clear"/>
              </w:rPr>
              <w:t>Оформление верхнего покрытия: глянцевое, нанесение логотипа в соответствии с корпоративным брендбуком</w:t>
            </w:r>
            <w:r>
              <w:rPr>
                <w:sz w:val="20"/>
                <w:szCs w:val="20"/>
                <w:shd w:fill="FFFFFF" w:val="clear"/>
                <w:vertAlign w:val="superscript"/>
              </w:rPr>
              <w:t>1</w:t>
            </w:r>
          </w:p>
        </w:tc>
        <w:tc>
          <w:tcPr>
            <w:tcW w:w="1861" w:type="dxa"/>
            <w:vMerge w:val="continue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3" w:hRule="atLeast"/>
        </w:trPr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Цвет: основания - белый , верхнее покрытие — цвета в соответствии с корпоративным брендбуком</w:t>
            </w: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vertAlign w:val="superscript"/>
                <w:lang w:eastAsia="ru-RU"/>
              </w:rPr>
              <w:t>1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57" w:hRule="atLeast"/>
        </w:trPr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1.2.4.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highlight w:val="none"/>
                <w:shd w:fill="FFFFFF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Габаритные размеры (диаметр), не менее 25 мм и не более полного закрытия даты месяца в численнике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Полиэтиленовый пакет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1980" w:type="dxa"/>
            <w:vMerge w:val="restart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Общие параметры</w:t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Материал - ПНД (полиэтилен низкого давления)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Плотность, мкм – не менее 10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1980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Габаритные размеры (ДхШ), не менее мм </w:t>
            </w:r>
            <w:r>
              <w:rPr>
                <w:rFonts w:eastAsia="Times New Roman" w:cs="Times New Roman"/>
                <w:kern w:val="0"/>
                <w:sz w:val="20"/>
                <w:szCs w:val="20"/>
                <w:shd w:fill="FFFFFF" w:val="clear"/>
                <w:lang w:eastAsia="ru-RU"/>
              </w:rPr>
              <w:t>- 250*360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Требования к доставке и приемке 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198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Доставка товара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Доставка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и разгрузка 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Продукции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осуществляются транспортом и за счет Поставщика по адресу: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40" w:before="0" w:after="0"/>
              <w:ind w:left="316" w:hanging="283"/>
              <w:contextualSpacing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 xml:space="preserve">г. Санкт-Петербург, пр. Испытателей, д. 22, литера А, склад Заказчика (1 этаж).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Часы работы склада Заказчика: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ind w:left="316" w:hanging="283"/>
              <w:contextualSpacing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с понедельника по четверг с 9 ч 00 мин по 16 ч 00 мин, 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lineRule="auto" w:line="240" w:before="0" w:after="0"/>
              <w:ind w:left="316" w:hanging="283"/>
              <w:contextualSpacing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в пятницу с 9 ч 00 мин по 15 ч 00 мин.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316" w:hanging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980" w:type="dxa"/>
            <w:vMerge w:val="restart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Приемка товара</w:t>
            </w:r>
          </w:p>
        </w:tc>
        <w:tc>
          <w:tcPr>
            <w:tcW w:w="7438" w:type="dxa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hd w:val="clear" w:color="auto" w:fill="FFFFFF"/>
              <w:tabs>
                <w:tab w:val="clear" w:pos="708"/>
                <w:tab w:val="left" w:pos="1418" w:leader="none"/>
              </w:tabs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обнаружении фактов некомплектности, недопоставки Товара, отсутствия необходимых принадлежностей и / или документов, относящихся к Товару, Покупатель вправе прекратить приемку Товара до момента устранения выявленных нарушений. Поставщик обязан в течени</w:t>
            </w:r>
            <w:r>
              <w:rPr>
                <w:rFonts w:eastAsia="Times New Roman" w:cs="Times New Roman"/>
                <w:sz w:val="20"/>
                <w:szCs w:val="20"/>
                <w:shd w:fill="FFFFFF" w:val="clear"/>
                <w:lang w:eastAsia="ru-RU"/>
              </w:rPr>
              <w:t>е 3 (трех) календарных дней с даты выявления указанных нарушений представить Покупателю не</w:t>
            </w:r>
            <w:r>
              <w:rPr>
                <w:sz w:val="20"/>
                <w:szCs w:val="20"/>
              </w:rPr>
              <w:t xml:space="preserve">обходимые принадлежности и / или документы, а также восполнить недопоставку Товара в срок, письменно согласованный с Покупателем. </w:t>
            </w:r>
          </w:p>
          <w:p>
            <w:pPr>
              <w:pStyle w:val="ListParagraph"/>
              <w:widowControl w:val="false"/>
              <w:shd w:val="clear" w:color="auto" w:fill="FFFFFF"/>
              <w:tabs>
                <w:tab w:val="clear" w:pos="708"/>
                <w:tab w:val="left" w:pos="1418" w:leader="none"/>
              </w:tabs>
              <w:ind w:left="0" w:firstLine="709"/>
              <w:jc w:val="both"/>
              <w:rPr>
                <w:sz w:val="20"/>
                <w:szCs w:val="20"/>
              </w:rPr>
            </w:pPr>
            <w:bookmarkStart w:id="29" w:name="_Ref361408232"/>
            <w:r>
              <w:rPr>
                <w:sz w:val="20"/>
                <w:szCs w:val="20"/>
              </w:rPr>
              <w:t>Устранение допущенных нарушений не освобождает Поставщика от ответственности за убытки, причиненные Покупателю нарушением условий поставки.</w:t>
            </w:r>
            <w:bookmarkEnd w:id="29"/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ListParagraph"/>
              <w:widowControl w:val="false"/>
              <w:shd w:val="clear" w:color="auto" w:fill="FFFFFF"/>
              <w:tabs>
                <w:tab w:val="clear" w:pos="708"/>
                <w:tab w:val="left" w:pos="1418" w:leader="none"/>
              </w:tabs>
              <w:ind w:left="0"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1" w:type="dxa"/>
            <w:vMerge w:val="continue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1980" w:type="dxa"/>
            <w:vMerge w:val="continue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438" w:type="dxa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Приемка Товара со вскрытием тары и упаковки производится Покупателем в присутствии представителя Поставщика в течение 10 (десяти) рабочих дней с даты подписания Покупателем транспортных документов. В случае отсутствия замечаний Покупатель подписывает накладную ТОРГ-12/УПД.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861" w:type="dxa"/>
            <w:vMerge w:val="continue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20" w:after="0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  <w:t>Требования к соблюдению положений нормативной и иной обязательной для поставщика документации</w:t>
            </w: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20"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20"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1980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ГОСТ</w:t>
            </w:r>
            <w:r>
              <w:rPr>
                <w:rFonts w:eastAsia="Times New Roman" w:cs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Style w:val="Doctitleimportant1"/>
                <w:rFonts w:eastAsia="Times New Roman" w:cs="Times New Roman"/>
                <w:kern w:val="0"/>
                <w:sz w:val="20"/>
                <w:szCs w:val="20"/>
                <w:lang w:eastAsia="ru-RU"/>
              </w:rPr>
              <w:t>ГОСТ 19112-78. «Государственный стандарт Союза ССР. Изделия из бумаги и картона. Технология. Термины и определения»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1980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rStyle w:val="Doctitleimportant1"/>
                <w:sz w:val="20"/>
                <w:szCs w:val="20"/>
              </w:rPr>
            </w:pPr>
            <w:r>
              <w:rPr>
                <w:rStyle w:val="Doctitleimportant1"/>
                <w:rFonts w:eastAsia="Times New Roman" w:cs="Times New Roman"/>
                <w:kern w:val="0"/>
                <w:sz w:val="20"/>
                <w:szCs w:val="20"/>
                <w:lang w:eastAsia="ru-RU"/>
              </w:rPr>
              <w:t>ГОСТ 21444-2016. «Межгосударственный стандарт. Бумага мелованная. Технические условия»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rStyle w:val="Doctitleimportant1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rStyle w:val="Doctitleimportant1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rStyle w:val="Doctitleimportant1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1980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vanish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vanish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Style w:val="Doctitleimportant1"/>
                <w:rFonts w:eastAsia="Times New Roman" w:cs="Times New Roman"/>
                <w:kern w:val="0"/>
                <w:sz w:val="20"/>
                <w:szCs w:val="20"/>
                <w:lang w:eastAsia="ru-RU"/>
              </w:rPr>
              <w:t>ГОСТ Р 54766-2011 (ИСО 12647-2:2004). «Национальный стандарт Российской Федерации. Технология полиграфии. Контроль процесса изготовления цифровых файлов, растровых цветоделений, пробных и тиражных оттисков. Часть 2. Процессы офсетной печати».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0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1980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Технический регламент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Упаковка должна соответствовать «ТР ТС 005/2011. Технический регламент Таможенного союза. О безопасности упаковки»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>
              <w:top w:val="nil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Требования к комплектации и документам, поставляемым вместе с продукцией</w:t>
            </w:r>
          </w:p>
        </w:tc>
        <w:tc>
          <w:tcPr>
            <w:tcW w:w="1861" w:type="dxa"/>
            <w:vMerge w:val="continue"/>
            <w:tcBorders>
              <w:top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>
              <w:top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1375" w:hRule="atLeast"/>
        </w:trPr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198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Передать одновременно с продукцией непосредственно Заказчику следующие документы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142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bookmarkStart w:id="30" w:name="_Toc123106606"/>
            <w:bookmarkEnd w:id="30"/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а) оригинал счета;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142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bookmarkStart w:id="31" w:name="_Toc123106607"/>
            <w:bookmarkEnd w:id="31"/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б) счёт-фактуру;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142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bookmarkStart w:id="32" w:name="_Toc123106608"/>
            <w:bookmarkEnd w:id="32"/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в) товарная накладная (ТОРГ-12)/универсальный передаточный документ (УПД)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142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142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198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Комплектация продукции 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В соответствии с Таблица 1 настоящих технических требований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  <w:lang w:eastAsia="x-none"/>
              </w:rPr>
            </w:pPr>
            <w:r>
              <w:rPr>
                <w:sz w:val="20"/>
                <w:szCs w:val="20"/>
                <w:lang w:eastAsia="x-none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  <w:lang w:eastAsia="x-none"/>
              </w:rPr>
            </w:pPr>
            <w:r>
              <w:rPr>
                <w:sz w:val="20"/>
                <w:szCs w:val="20"/>
                <w:lang w:eastAsia="x-none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Прочие (дополнительные) требования к продукции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1980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Иные требования 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Товар должен быть новым, не бывшим в эксплуатации без механических и магнитных (размагничен) повреждений.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851" w:leader="none"/>
              </w:tabs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Каждая единица Товара должна поставляться в индивидуальной упаковке (полиэтиленовый пакет), размером не менее физического размера календаря ТРИО в сложенном виде, не имеющей повреждений и обеспечивающей защиту товара от его повреждения или порчи во время транспортировки и хранения.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/>
            </w:pPr>
            <w:r>
              <w:rPr>
                <w:rFonts w:cs="Times New Roman"/>
                <w:kern w:val="0"/>
                <w:sz w:val="20"/>
                <w:szCs w:val="20"/>
              </w:rPr>
              <w:t xml:space="preserve">Применение шрифта </w:t>
            </w:r>
            <w:r>
              <w:rPr>
                <w:rFonts w:eastAsia="Calibri" w:cs="Times New Roman" w:eastAsiaTheme="minorHAnsi"/>
                <w:kern w:val="0"/>
                <w:sz w:val="20"/>
                <w:szCs w:val="20"/>
                <w:lang w:eastAsia="en-US"/>
              </w:rPr>
              <w:t xml:space="preserve">ITC Avant Garde Gothic Demi Bold Поставщиком должно осуществляться </w:t>
            </w:r>
            <w:r>
              <w:rPr>
                <w:rFonts w:cs="Times New Roman"/>
                <w:kern w:val="0"/>
                <w:sz w:val="20"/>
                <w:szCs w:val="20"/>
              </w:rPr>
              <w:t xml:space="preserve">на основании лицензии компании </w:t>
            </w:r>
            <w:r>
              <w:rPr>
                <w:rFonts w:cs="Times New Roman"/>
                <w:kern w:val="0"/>
                <w:sz w:val="20"/>
                <w:szCs w:val="20"/>
                <w:lang w:val="en-US"/>
              </w:rPr>
              <w:t>Para</w:t>
            </w:r>
            <w:r>
              <w:rPr>
                <w:rFonts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cs="Times New Roman"/>
                <w:kern w:val="0"/>
                <w:sz w:val="20"/>
                <w:szCs w:val="20"/>
                <w:lang w:val="en-US"/>
              </w:rPr>
              <w:t>Type</w:t>
            </w:r>
            <w:r>
              <w:rPr>
                <w:rFonts w:cs="Times New Roman"/>
                <w:kern w:val="0"/>
                <w:sz w:val="20"/>
                <w:szCs w:val="20"/>
              </w:rPr>
              <w:t xml:space="preserve"> или иного правообладателя.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/>
            </w:pPr>
            <w:r>
              <w:rPr/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hanging="0"/>
              <w:contextualSpacing/>
              <w:jc w:val="both"/>
              <w:outlineLvl w:val="0"/>
              <w:rPr/>
            </w:pPr>
            <w:r>
              <w:rPr/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1980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Согласование оригинал макета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В течение 2 (двух) рабочих дней с даты, следующей за датой заключения договора Заказчик посредством электронной почты Заказчика</w:t>
            </w:r>
            <w:r>
              <w:rPr>
                <w:rFonts w:eastAsia="Times New Roman" w:cs="Times New Roman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 направляет заявку Поставщику.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После получения заявки Заказчика Поставщик в течение 4 (Четырёх) рабочих дней разрабатывает и представляет на электронную почту Заказчика оригинал-макет Товара на согласование (до 5 вариантов).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5.6.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Заказчик в течение 2 (Двух) рабочих дней с момента получения оригинал-макета Товара согласовывает полученный оригинал-макет или направляет Поставщику на электронную почту Поставщика соответствующие замечания. Срок устранения указанных замечаний и повторного представления Заказчику оригинал-макета Товара не более 4 (Четырёх) рабочих дней с момента получения замечаний.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5.7.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Порядок и сроки согласования оригинал-макета Товара после устранения замечаний в соответствии с п.5.6. Таблицы 3 настоящих технических требований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5.8.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Оригинал-макет Товара считается согласованным и утвержденным в производство только при наличии на нем даты и подписей Заказчика и Поставщика.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60" w:after="0"/>
              <w:ind w:left="-117" w:hanging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5.9.</w:t>
            </w:r>
          </w:p>
        </w:tc>
        <w:tc>
          <w:tcPr>
            <w:tcW w:w="1980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>После согласования оригинал-макета Товара Поставщик изготавливает и поставляет Заказчику Товар в сроки, установленные в соответствии в Таблицей 2 настоящих технических требований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lineRule="auto" w:line="276" w:before="0" w:after="0"/>
              <w:ind w:left="0" w:hanging="0"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lineRule="auto" w:line="240" w:before="6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9418" w:type="dxa"/>
            <w:gridSpan w:val="2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ru-RU"/>
              </w:rPr>
              <w:t>Требования к оплате продукции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135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60" w:after="0"/>
              <w:jc w:val="center"/>
              <w:rPr/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ru-RU"/>
              </w:rPr>
              <w:t xml:space="preserve">6.1. </w:t>
            </w:r>
          </w:p>
        </w:tc>
        <w:tc>
          <w:tcPr>
            <w:tcW w:w="1980" w:type="dxa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iCs/>
                <w:kern w:val="0"/>
                <w:sz w:val="20"/>
                <w:szCs w:val="20"/>
                <w:lang w:eastAsia="ru-RU"/>
              </w:rPr>
              <w:t>Условия оплаты</w:t>
            </w:r>
          </w:p>
        </w:tc>
        <w:tc>
          <w:tcPr>
            <w:tcW w:w="7438" w:type="dxa"/>
            <w:tcBorders>
              <w:right w:val="nil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lang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Расчет за поставленный Товар производится в течение 20 (двадцати) календарных дней с даты подписания Сторонами товарной накладной (ТОРГ-12)/УПД, при условии получения Покупателем счета, выставленного Поставщиком</w:t>
            </w:r>
            <w:r>
              <w:rPr>
                <w:rFonts w:eastAsia="Times New Roman" w:cs="Times New Roman"/>
                <w:kern w:val="0"/>
                <w:sz w:val="20"/>
                <w:szCs w:val="20"/>
                <w:vertAlign w:val="superscript"/>
                <w:lang w:val="ru-RU" w:eastAsia="ru-RU" w:bidi="ar-SA"/>
              </w:rPr>
              <w:t>4</w:t>
            </w:r>
          </w:p>
        </w:tc>
        <w:tc>
          <w:tcPr>
            <w:tcW w:w="1861" w:type="dxa"/>
            <w:vMerge w:val="continue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</w:r>
          </w:p>
        </w:tc>
        <w:tc>
          <w:tcPr>
            <w:tcW w:w="1876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</w:r>
          </w:p>
        </w:tc>
      </w:tr>
    </w:tbl>
    <w:p>
      <w:pPr>
        <w:pStyle w:val="FootnoteText"/>
        <w:widowControl w:val="false"/>
        <w:jc w:val="both"/>
        <w:rPr/>
      </w:pPr>
      <w:r>
        <w:rPr>
          <w:rFonts w:cs="Times New Roman"/>
          <w:i/>
          <w:iCs/>
          <w:sz w:val="20"/>
          <w:szCs w:val="20"/>
          <w:shd w:fill="FFFFFF" w:val="clear"/>
          <w:vertAlign w:val="superscript"/>
        </w:rPr>
        <w:t xml:space="preserve">1 </w:t>
      </w:r>
      <w:r>
        <w:rPr>
          <w:rFonts w:cs="Times New Roman"/>
          <w:i/>
          <w:iCs/>
          <w:sz w:val="20"/>
          <w:szCs w:val="20"/>
          <w:shd w:fill="FFFFFF" w:val="clear"/>
        </w:rPr>
        <w:t>В целях лучшего понимания потребности Заказчика и возможности корректной подачи заявки в Приложении №2 представлена визуализация логотипа в корпоративном стиле.</w:t>
      </w:r>
    </w:p>
    <w:p>
      <w:pPr>
        <w:pStyle w:val="FootnoteText"/>
        <w:widowControl w:val="false"/>
        <w:jc w:val="both"/>
        <w:rPr>
          <w:rFonts w:ascii="Times New Roman" w:hAnsi="Times New Roman"/>
          <w:sz w:val="20"/>
          <w:szCs w:val="20"/>
        </w:rPr>
      </w:pPr>
      <w:r>
        <w:rPr>
          <w:rFonts w:cs="Times New Roman"/>
          <w:i/>
          <w:iCs/>
          <w:sz w:val="20"/>
          <w:szCs w:val="20"/>
          <w:shd w:fill="FFFFFF" w:val="clear"/>
          <w:vertAlign w:val="superscript"/>
        </w:rPr>
        <w:t xml:space="preserve">2  </w:t>
      </w:r>
      <w:r>
        <w:rPr>
          <w:i/>
          <w:iCs/>
          <w:sz w:val="20"/>
          <w:szCs w:val="20"/>
        </w:rPr>
        <w:t>В случае отмены из указанных ГОСТов (в связи с выпуском новой редакции стандарта и т.п.), применяется новая редакция ГОСТа, принятая взамен указанного в Технических требованиях.</w:t>
      </w:r>
    </w:p>
    <w:p>
      <w:pPr>
        <w:pStyle w:val="FootnoteText"/>
        <w:widowControl w:val="false"/>
        <w:jc w:val="both"/>
        <w:rPr>
          <w:rFonts w:ascii="Times New Roman" w:hAnsi="Times New Roman"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 xml:space="preserve">3  </w:t>
      </w:r>
      <w:r>
        <w:rPr>
          <w:i/>
          <w:iCs/>
          <w:sz w:val="20"/>
          <w:szCs w:val="20"/>
        </w:rPr>
        <w:t>Номер факса и адрес электронной почты Заказчика и Поставщика указывается в договоре, заключаемого по результатам закупки</w:t>
      </w:r>
    </w:p>
    <w:p>
      <w:pPr>
        <w:pStyle w:val="FootnoteText"/>
        <w:widowControl w:val="false"/>
        <w:jc w:val="both"/>
        <w:rPr>
          <w:rFonts w:ascii="Times New Roman" w:hAnsi="Times New Roman"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 xml:space="preserve">4 </w:t>
      </w:r>
      <w:r>
        <w:rPr>
          <w:i/>
          <w:iCs/>
          <w:sz w:val="20"/>
          <w:szCs w:val="20"/>
        </w:rPr>
        <w:t>Если Поставщик является субъектом малого и среднего предпринимательства, расчеты по договору производятся в течение 7 (Семи) рабочих дней с даты подписания Сторонами товарной накладной (ТОРГ-12)/УПД, при условии получения Покупателем счета, выставленного Поставщиком.</w:t>
      </w:r>
    </w:p>
    <w:p>
      <w:pPr>
        <w:pStyle w:val="Heading4"/>
        <w:numPr>
          <w:ilvl w:val="0"/>
          <w:numId w:val="0"/>
        </w:numPr>
        <w:ind w:left="720" w:hanging="0"/>
        <w:rPr>
          <w:rFonts w:ascii="Nimbus Roman [UKWN]" w:hAnsi="Nimbus Roman [UKWN]"/>
        </w:rPr>
      </w:pPr>
      <w:r>
        <w:rPr>
          <w:rFonts w:ascii="Nimbus Roman [UKWN]" w:hAnsi="Nimbus Roman [UKWN]"/>
        </w:rPr>
      </w:r>
    </w:p>
    <w:p>
      <w:pPr>
        <w:pStyle w:val="Heading4"/>
        <w:numPr>
          <w:ilvl w:val="0"/>
          <w:numId w:val="0"/>
        </w:numPr>
        <w:ind w:left="720" w:hanging="0"/>
        <w:rPr>
          <w:rFonts w:ascii="Nimbus Roman [UKWN]" w:hAnsi="Nimbus Roman [UKWN]"/>
        </w:rPr>
      </w:pPr>
      <w:r>
        <w:rPr>
          <w:rFonts w:ascii="Nimbus Roman [UKWN]" w:hAnsi="Nimbus Roman [UKWN]"/>
          <w:sz w:val="26"/>
          <w:szCs w:val="26"/>
        </w:rPr>
        <w:t>2.2.1. Состав заявки на мониторинг цен:</w:t>
      </w:r>
    </w:p>
    <w:p>
      <w:pPr>
        <w:pStyle w:val="Standard"/>
        <w:jc w:val="both"/>
        <w:rPr/>
      </w:pPr>
      <w:r>
        <w:rPr/>
        <w:tab/>
        <w:t xml:space="preserve">В составе заявки </w:t>
      </w:r>
      <w:r>
        <w:rPr>
          <w:iCs/>
          <w:lang w:eastAsia="x-none"/>
        </w:rPr>
        <w:t xml:space="preserve">на </w:t>
      </w:r>
      <w:r>
        <w:rPr>
          <w:iCs/>
          <w:lang w:val="x-none" w:eastAsia="x-none"/>
        </w:rPr>
        <w:t xml:space="preserve">мониторинг цен необходимо представить </w:t>
      </w:r>
      <w:r>
        <w:rPr>
          <w:iCs/>
          <w:lang w:eastAsia="x-none"/>
        </w:rPr>
        <w:t>Технико-коммерческое предложение по форме приложения № 1 к</w:t>
      </w:r>
    </w:p>
    <w:p>
      <w:pPr>
        <w:sectPr>
          <w:type w:val="nextPage"/>
          <w:pgSz w:orient="landscape" w:w="16838" w:h="11906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Standard"/>
        <w:jc w:val="both"/>
        <w:rPr/>
      </w:pPr>
      <w:r>
        <w:rPr>
          <w:iCs/>
          <w:lang w:eastAsia="x-none"/>
        </w:rPr>
        <w:t xml:space="preserve">            </w:t>
      </w:r>
      <w:r>
        <w:rPr>
          <w:iCs/>
          <w:lang w:eastAsia="x-none"/>
        </w:rPr>
        <w:t>настоящим Техническим требованиям.</w:t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rFonts w:ascii="Nimbus Roman [UKWN]" w:hAnsi="Nimbus Roman [UKWN]"/>
          <w:sz w:val="26"/>
          <w:szCs w:val="26"/>
        </w:rPr>
      </w:pPr>
      <w:r>
        <w:rPr>
          <w:rFonts w:ascii="Nimbus Roman [UKWN]" w:hAnsi="Nimbus Roman [UKWN]"/>
          <w:sz w:val="26"/>
          <w:szCs w:val="26"/>
        </w:rPr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right"/>
        <w:outlineLvl w:val="0"/>
        <w:rPr/>
      </w:pPr>
      <w:r>
        <w:rPr>
          <w:rFonts w:ascii="Nimbus Roman [UKWN]" w:hAnsi="Nimbus Roman [UKWN]"/>
          <w:sz w:val="26"/>
          <w:szCs w:val="26"/>
        </w:rPr>
        <w:t xml:space="preserve">Приложение №1 </w:t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right"/>
        <w:outlineLvl w:val="0"/>
        <w:rPr/>
      </w:pPr>
      <w:r>
        <w:rPr>
          <w:rFonts w:ascii="Nimbus Roman [UKWN]" w:hAnsi="Nimbus Roman [UKWN]"/>
          <w:sz w:val="26"/>
          <w:szCs w:val="26"/>
        </w:rPr>
        <w:t>к Техническим требованиям</w:t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rFonts w:ascii="Nimbus Roman [UKWN]" w:hAnsi="Nimbus Roman [UKWN]"/>
          <w:sz w:val="26"/>
          <w:szCs w:val="26"/>
        </w:rPr>
      </w:pPr>
      <w:r>
        <w:rPr>
          <w:rFonts w:ascii="Nimbus Roman [UKWN]" w:hAnsi="Nimbus Roman [UKWN]"/>
          <w:sz w:val="26"/>
          <w:szCs w:val="26"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ind w:left="6160" w:hanging="0"/>
        <w:jc w:val="right"/>
        <w:rPr/>
      </w:pPr>
      <w:r>
        <w:rPr/>
      </w:r>
    </w:p>
    <w:tbl>
      <w:tblPr>
        <w:tblW w:w="99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921"/>
      </w:tblGrid>
      <w:tr>
        <w:trPr/>
        <w:tc>
          <w:tcPr>
            <w:tcW w:w="9921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</w:rPr>
            </w:pPr>
            <w:r>
              <w:rPr>
                <w:b/>
              </w:rPr>
              <w:t>Форма «Технико-коммерческое предложение»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начало формы</w:t>
            </w:r>
          </w:p>
        </w:tc>
      </w:tr>
    </w:tbl>
    <w:p>
      <w:pPr>
        <w:pStyle w:val="Normal"/>
        <w:tabs>
          <w:tab w:val="clear" w:pos="708"/>
          <w:tab w:val="left" w:pos="5812" w:leader="none"/>
        </w:tabs>
        <w:jc w:val="center"/>
        <w:rPr>
          <w:i/>
          <w:i/>
        </w:rPr>
      </w:pPr>
      <w:r>
        <w:rPr>
          <w:i/>
        </w:rPr>
        <w:t>На официальном бланке участника</w: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w:t>Технико-коммерческое предложение</w:t>
      </w:r>
    </w:p>
    <w:p>
      <w:pPr>
        <w:pStyle w:val="Normal"/>
        <w:jc w:val="center"/>
        <w:rPr>
          <w:b/>
        </w:rPr>
      </w:pPr>
      <w:r>
        <w:rPr>
          <w:b/>
        </w:rPr>
      </w:r>
    </w:p>
    <w:tbl>
      <w:tblPr>
        <w:tblW w:w="35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74"/>
        <w:gridCol w:w="1136"/>
        <w:gridCol w:w="1699"/>
      </w:tblGrid>
      <w:tr>
        <w:trPr/>
        <w:tc>
          <w:tcPr>
            <w:tcW w:w="1810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Исходящий №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674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от</w:t>
            </w: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674" w:type="dxa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  <w:tc>
          <w:tcPr>
            <w:tcW w:w="2835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>
      <w:pPr>
        <w:pStyle w:val="Normal"/>
        <w:jc w:val="center"/>
        <w:rPr>
          <w:b/>
          <w:lang w:val="en-US"/>
        </w:rPr>
      </w:pPr>
      <w:r>
        <w:rPr>
          <w:b/>
          <w:lang w:val="en-US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650"/>
        <w:gridCol w:w="271"/>
      </w:tblGrid>
      <w:tr>
        <w:trPr>
          <w:trHeight w:val="960" w:hRule="atLeast"/>
        </w:trPr>
        <w:tc>
          <w:tcPr>
            <w:tcW w:w="9921" w:type="dxa"/>
            <w:gridSpan w:val="2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ind w:left="-105" w:hanging="0"/>
              <w:jc w:val="both"/>
              <w:rPr/>
            </w:pPr>
            <w:r>
              <w:rPr>
                <w:sz w:val="24"/>
                <w:szCs w:val="24"/>
              </w:rPr>
              <w:t xml:space="preserve">Изучив Технические требования Заказчика в рамках настоящего мониторинга </w:t>
            </w:r>
            <w:r>
              <w:rPr>
                <w:sz w:val="24"/>
                <w:szCs w:val="24"/>
                <w:lang w:eastAsia="x-none"/>
              </w:rPr>
              <w:t>«</w:t>
            </w:r>
            <w:r>
              <w:rPr>
                <w:rFonts w:eastAsia="Calibri" w:cs="Times New Roman"/>
                <w:i w:val="false"/>
                <w:iCs w:val="false"/>
                <w:sz w:val="24"/>
                <w:szCs w:val="24"/>
                <w:lang w:eastAsia="x-none"/>
              </w:rPr>
              <w:t>ОКПД2 58.19.13 Поставка полиграфической продукции для нужд АО «Ленгидропроект»»</w:t>
            </w:r>
            <w:r>
              <w:rPr>
                <w:rFonts w:eastAsia="Calibri" w:cs="Times New Roman"/>
                <w:i w:val="false"/>
                <w:iCs w:val="false"/>
                <w:sz w:val="20"/>
                <w:szCs w:val="26"/>
                <w:lang w:eastAsia="x-none"/>
              </w:rPr>
              <w:t>.</w:t>
            </w:r>
          </w:p>
        </w:tc>
      </w:tr>
      <w:tr>
        <w:trPr/>
        <w:tc>
          <w:tcPr>
            <w:tcW w:w="9650" w:type="dxa"/>
            <w:tcBorders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(полное наименование организации с указанием организационно-правой формы и ИНН)</w:t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9650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,</w:t>
            </w:r>
          </w:p>
        </w:tc>
      </w:tr>
      <w:tr>
        <w:trPr/>
        <w:tc>
          <w:tcPr>
            <w:tcW w:w="9650" w:type="dxa"/>
            <w:tcBorders>
              <w:top w:val="single" w:sz="6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(юридический адрес)</w:t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9650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,</w:t>
            </w:r>
          </w:p>
        </w:tc>
      </w:tr>
      <w:tr>
        <w:trPr/>
        <w:tc>
          <w:tcPr>
            <w:tcW w:w="9650" w:type="dxa"/>
            <w:tcBorders>
              <w:top w:val="single" w:sz="6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(почтовый адрес)</w:t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9650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contextualSpacing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271" w:type="dxa"/>
            <w:tcBorders/>
          </w:tcPr>
          <w:p>
            <w:pPr>
              <w:pStyle w:val="Normal"/>
              <w:widowControl w:val="false"/>
              <w:spacing w:before="0" w:after="0"/>
              <w:contextualSpacing/>
              <w:jc w:val="both"/>
              <w:rPr/>
            </w:pPr>
            <w:r>
              <w:rPr/>
              <w:t>,</w:t>
            </w:r>
          </w:p>
        </w:tc>
      </w:tr>
    </w:tbl>
    <w:p>
      <w:pPr>
        <w:pStyle w:val="Normal"/>
        <w:spacing w:before="0" w:after="0"/>
        <w:contextualSpacing/>
        <w:jc w:val="center"/>
        <w:rPr/>
      </w:pPr>
      <w:r>
        <w:rPr>
          <w:vertAlign w:val="superscript"/>
        </w:rPr>
        <w:t>(контактные данные номер телефона, e-mail, ФИО контактного лица)</w:t>
      </w:r>
    </w:p>
    <w:p>
      <w:pPr>
        <w:pStyle w:val="Normal"/>
        <w:jc w:val="both"/>
        <w:rPr>
          <w:kern w:val="2"/>
        </w:rPr>
      </w:pPr>
      <w:r>
        <w:rPr/>
        <w:t xml:space="preserve">согласен </w:t>
      </w:r>
      <w:r>
        <w:rPr>
          <w:kern w:val="2"/>
        </w:rPr>
        <w:t xml:space="preserve">со всеми условиями Технических требований, включая установленные (предложенные Заказчиком) сроки изготовления и поставки Товара, условия оплаты </w:t>
      </w:r>
      <w:r>
        <w:rPr/>
        <w:t>и сообщаю следующее:</w:t>
      </w:r>
    </w:p>
    <w:p>
      <w:pPr>
        <w:pStyle w:val="Normal"/>
        <w:spacing w:before="0" w:after="0"/>
        <w:contextualSpacing/>
        <w:jc w:val="both"/>
        <w:rPr>
          <w:kern w:val="2"/>
        </w:rPr>
      </w:pPr>
      <w:r>
        <w:rPr>
          <w:kern w:val="2"/>
        </w:rPr>
      </w:r>
    </w:p>
    <w:p>
      <w:pPr>
        <w:pStyle w:val="Normal"/>
        <w:shd w:val="clear" w:color="auto" w:fill="FFFFFF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Сводная таблица стоимости продукции</w:t>
      </w:r>
    </w:p>
    <w:tbl>
      <w:tblPr>
        <w:tblW w:w="991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1271"/>
        <w:gridCol w:w="4049"/>
        <w:gridCol w:w="1024"/>
        <w:gridCol w:w="841"/>
        <w:gridCol w:w="1484"/>
        <w:gridCol w:w="1245"/>
      </w:tblGrid>
      <w:tr>
        <w:trPr>
          <w:trHeight w:val="1235" w:hRule="atLeast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услуг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Ед. 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изм-я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за единицу без учета НДС, руб. коп.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без учета НДС, руб. коп.</w:t>
            </w:r>
          </w:p>
        </w:tc>
      </w:tr>
      <w:tr>
        <w:trPr>
          <w:trHeight w:val="149" w:hRule="atLeast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>
        <w:trPr>
          <w:trHeight w:val="221" w:hRule="atLeast"/>
        </w:trPr>
        <w:tc>
          <w:tcPr>
            <w:tcW w:w="9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ind w:left="-105" w:hanging="0"/>
              <w:jc w:val="both"/>
              <w:rPr>
                <w:sz w:val="20"/>
                <w:szCs w:val="20"/>
              </w:rPr>
            </w:pPr>
            <w:r>
              <w:rPr>
                <w:rFonts w:eastAsia="Calibri" w:cs="Times New Roman" w:ascii="Nimbus Roman [UKWN]" w:hAnsi="Nimbus Roman [UKWN]"/>
                <w:b/>
                <w:bCs/>
                <w:i w:val="false"/>
                <w:iCs w:val="false"/>
                <w:sz w:val="20"/>
                <w:szCs w:val="20"/>
                <w:lang w:eastAsia="x-none"/>
              </w:rPr>
              <w:t>ОКПД2 58.19.13 Поставка полиграфической продукции для нужд АО «Ленгидропроект»</w:t>
            </w:r>
          </w:p>
        </w:tc>
      </w:tr>
      <w:tr>
        <w:trPr>
          <w:trHeight w:val="524" w:hRule="atLeast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120" w:after="120"/>
              <w:jc w:val="center"/>
              <w:rPr>
                <w:sz w:val="16"/>
                <w:szCs w:val="16"/>
              </w:rPr>
            </w:pPr>
            <w:r>
              <w:rPr>
                <w:rFonts w:ascii="Nimbus Roman [UKWN]" w:hAnsi="Nimbus Roman [UKWN]"/>
                <w:sz w:val="16"/>
                <w:szCs w:val="16"/>
              </w:rPr>
              <w:t>1.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 w:val="false"/>
                <w:bCs w:val="false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kern w:val="0"/>
                <w:sz w:val="20"/>
                <w:szCs w:val="20"/>
                <w:lang w:eastAsia="ru-RU"/>
              </w:rPr>
              <w:t>Квартальный (производственный) календарь ТРИО</w:t>
            </w:r>
          </w:p>
        </w:tc>
        <w:tc>
          <w:tcPr>
            <w:tcW w:w="1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rFonts w:ascii="Nimbus Roman [UKWN]" w:hAnsi="Nimbus Roman [UKWN]"/>
                <w:color w:val="000000"/>
                <w:sz w:val="16"/>
                <w:szCs w:val="16"/>
              </w:rPr>
              <w:t xml:space="preserve"> </w:t>
            </w:r>
          </w:p>
          <w:p>
            <w:pPr>
              <w:pStyle w:val="Style22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rFonts w:ascii="Nimbus Roman [UKWN]" w:hAnsi="Nimbus Roman [UKWN]"/>
                <w:color w:val="000000"/>
                <w:sz w:val="16"/>
                <w:szCs w:val="16"/>
              </w:rPr>
              <w:t>шт.</w:t>
            </w:r>
          </w:p>
          <w:p>
            <w:pPr>
              <w:pStyle w:val="Style22"/>
              <w:widowControl w:val="false"/>
              <w:jc w:val="center"/>
              <w:rPr>
                <w:rFonts w:ascii="Nimbus Roman [UKWN]" w:hAnsi="Nimbus Roman [UKWN]"/>
                <w:sz w:val="16"/>
                <w:szCs w:val="16"/>
              </w:rPr>
            </w:pPr>
            <w:r>
              <w:rPr>
                <w:rFonts w:ascii="Nimbus Roman [UKWN]" w:hAnsi="Nimbus Roman [UKWN]"/>
                <w:sz w:val="16"/>
                <w:szCs w:val="16"/>
              </w:rPr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rFonts w:ascii="Nimbus Roman [UKWN]" w:hAnsi="Nimbus Roman [UKWN]"/>
                <w:sz w:val="16"/>
                <w:szCs w:val="16"/>
              </w:rPr>
              <w:t>550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Nimbus Roman [UKWN]" w:hAnsi="Nimbus Roman [UKWN]"/>
                <w:sz w:val="22"/>
                <w:szCs w:val="22"/>
              </w:rPr>
            </w:pPr>
            <w:r>
              <w:rPr>
                <w:rFonts w:ascii="Nimbus Roman [UKWN]" w:hAnsi="Nimbus Roman [UKWN]"/>
                <w:sz w:val="22"/>
                <w:szCs w:val="22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Nimbus Roman [UKWN]" w:hAnsi="Nimbus Roman [UKWN]"/>
                <w:sz w:val="22"/>
                <w:szCs w:val="22"/>
              </w:rPr>
            </w:pPr>
            <w:r>
              <w:rPr>
                <w:rFonts w:ascii="Nimbus Roman [UKWN]" w:hAnsi="Nimbus Roman [UKWN]"/>
                <w:sz w:val="22"/>
                <w:szCs w:val="22"/>
              </w:rPr>
            </w:r>
          </w:p>
        </w:tc>
      </w:tr>
      <w:tr>
        <w:trPr>
          <w:trHeight w:val="221" w:hRule="atLeast"/>
        </w:trPr>
        <w:tc>
          <w:tcPr>
            <w:tcW w:w="71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right"/>
              <w:rPr/>
            </w:pPr>
            <w:r>
              <w:rPr>
                <w:b/>
              </w:rPr>
              <w:t>Итого, без НДС, руб. коп.: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922"/>
      </w:tblGrid>
      <w:tr>
        <w:trPr>
          <w:trHeight w:val="215" w:hRule="atLeast"/>
        </w:trPr>
        <w:tc>
          <w:tcPr>
            <w:tcW w:w="9922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  <w:tr>
        <w:trPr/>
        <w:tc>
          <w:tcPr>
            <w:tcW w:w="9922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  <w:vertAlign w:val="superscript"/>
              </w:rPr>
            </w:r>
          </w:p>
        </w:tc>
      </w:tr>
    </w:tbl>
    <w:p>
      <w:pPr>
        <w:pStyle w:val="Normal"/>
        <w:spacing w:before="0" w:after="0"/>
        <w:contextualSpacing/>
        <w:rPr>
          <w:kern w:val="2"/>
        </w:rPr>
      </w:pPr>
      <w:r>
        <w:rPr>
          <w:kern w:val="2"/>
        </w:rPr>
      </w:r>
    </w:p>
    <w:tbl>
      <w:tblPr>
        <w:tblW w:w="46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93"/>
        <w:gridCol w:w="2550"/>
      </w:tblGrid>
      <w:tr>
        <w:trPr/>
        <w:tc>
          <w:tcPr>
            <w:tcW w:w="4643" w:type="dxa"/>
            <w:gridSpan w:val="2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643" w:type="dxa"/>
            <w:gridSpan w:val="2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(должность)</w:t>
            </w:r>
          </w:p>
        </w:tc>
      </w:tr>
      <w:tr>
        <w:trPr/>
        <w:tc>
          <w:tcPr>
            <w:tcW w:w="2093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255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</w:tr>
      <w:tr>
        <w:trPr>
          <w:trHeight w:val="53" w:hRule="atLeast"/>
        </w:trPr>
        <w:tc>
          <w:tcPr>
            <w:tcW w:w="2093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w="2550" w:type="dxa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(расшифровка подписи)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>
                <w:vertAlign w:val="superscript"/>
              </w:rPr>
              <w:t>М..П.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922"/>
      </w:tblGrid>
      <w:tr>
        <w:trPr/>
        <w:tc>
          <w:tcPr>
            <w:tcW w:w="992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конец формы</w:t>
            </w:r>
          </w:p>
        </w:tc>
      </w:tr>
    </w:tbl>
    <w:p>
      <w:pPr>
        <w:sectPr>
          <w:type w:val="nextPage"/>
          <w:pgSz w:w="11906" w:h="16838"/>
          <w:pgMar w:left="1134" w:right="850" w:gutter="0" w:header="0" w:top="993" w:footer="0" w:bottom="993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spacing w:val="0"/>
        </w:rPr>
      </w:pPr>
      <w:r>
        <w:rPr>
          <w:b/>
          <w:bCs/>
          <w:spacing w:val="0"/>
          <w:sz w:val="26"/>
          <w:szCs w:val="26"/>
        </w:rPr>
        <w:t>Приложение №2 к Техническим требованиям</w:t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>
          <w:shd w:fill="FFFFFF" w:val="clear"/>
        </w:rPr>
        <w:t>Визуализация  логотипа и фирменных цветов в корпоративном стиле.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51435</wp:posOffset>
            </wp:positionH>
            <wp:positionV relativeFrom="paragraph">
              <wp:posOffset>574040</wp:posOffset>
            </wp:positionV>
            <wp:extent cx="4580890" cy="1386840"/>
            <wp:effectExtent l="0" t="0" r="0" b="0"/>
            <wp:wrapSquare wrapText="largest"/>
            <wp:docPr id="1" name="Изображение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699510" cy="2395855"/>
            <wp:effectExtent l="0" t="0" r="0" b="0"/>
            <wp:docPr id="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2" t="-113" r="-82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>
          <w:shd w:fill="FFFFFF" w:val="clear"/>
        </w:rPr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>
          <w:shd w:fill="FFFFFF" w:val="clear"/>
        </w:rPr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>
          <w:shd w:fill="FFFFFF" w:val="clear"/>
        </w:rPr>
        <w:t>Визуализация бегунка (пример)</w:t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>
          <w:shd w:fill="FFFFFF" w:val="clear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45085</wp:posOffset>
            </wp:positionH>
            <wp:positionV relativeFrom="paragraph">
              <wp:posOffset>82550</wp:posOffset>
            </wp:positionV>
            <wp:extent cx="2005965" cy="267398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2500630</wp:posOffset>
            </wp:positionH>
            <wp:positionV relativeFrom="paragraph">
              <wp:posOffset>55245</wp:posOffset>
            </wp:positionV>
            <wp:extent cx="2026285" cy="270129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numPr>
          <w:ilvl w:val="0"/>
          <w:numId w:val="0"/>
        </w:numPr>
        <w:tabs>
          <w:tab w:val="clear" w:pos="708"/>
          <w:tab w:val="left" w:pos="0" w:leader="none"/>
          <w:tab w:val="left" w:pos="1560" w:leader="none"/>
        </w:tabs>
        <w:ind w:left="0" w:hanging="0"/>
        <w:jc w:val="both"/>
        <w:outlineLvl w:val="0"/>
        <w:rPr>
          <w:highlight w:val="none"/>
          <w:shd w:fill="FFFFFF" w:val="clear"/>
        </w:rPr>
      </w:pPr>
      <w:r>
        <w:rPr/>
      </w:r>
    </w:p>
    <w:sectPr>
      <w:type w:val="nextPage"/>
      <w:pgSz w:w="11906" w:h="16838"/>
      <w:pgMar w:left="1134" w:right="850" w:gutter="0" w:header="0" w:top="993" w:footer="0" w:bottom="99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 Light">
    <w:charset w:val="01"/>
    <w:family w:val="roman"/>
    <w:pitch w:val="variable"/>
  </w:font>
  <w:font w:name="Helvetica Neue">
    <w:altName w:val="Helvetica"/>
    <w:charset w:val="01"/>
    <w:family w:val="roman"/>
    <w:pitch w:val="variable"/>
  </w:font>
  <w:font w:name="Nimbus Roman [UKWN]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6"/>
        <w:sz w:val="26"/>
        <w:spacing w:val="0"/>
        <w:i w:val="false"/>
        <w:u w:val="none"/>
        <w:b/>
        <w:effect w:val="none"/>
        <w:szCs w:val="26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pStyle w:val="Heading4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6"/>
        <w:i w:val="false"/>
        <w:b/>
        <w:szCs w:val="24"/>
        <w:iCs/>
        <w:bCs/>
      </w:rPr>
    </w:lvl>
    <w:lvl w:ilvl="2">
      <w:start w:val="1"/>
      <w:pStyle w:val="Heading3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6"/>
        <w:sz w:val="26"/>
        <w:spacing w:val="0"/>
        <w:i w:val="false"/>
        <w:u w:val="none"/>
        <w:b/>
        <w:effect w:val="none"/>
        <w:szCs w:val="26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b/>
        <w:szCs w:val="24"/>
        <w:bCs w:val="false"/>
        <w:rFonts w:ascii="Times New Roman" w:hAnsi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sz w:val="20"/>
        <w:b w:val="false"/>
        <w:szCs w:val="2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/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d3df3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paragraph" w:styleId="Heading1">
    <w:name w:val="Heading 1"/>
    <w:basedOn w:val="Heading3"/>
    <w:qFormat/>
    <w:rsid w:val="005d4d73"/>
    <w:pPr>
      <w:numPr>
        <w:ilvl w:val="0"/>
        <w:numId w:val="1"/>
      </w:numPr>
      <w:outlineLvl w:val="0"/>
    </w:pPr>
    <w:rPr>
      <w:sz w:val="28"/>
      <w:szCs w:val="28"/>
    </w:rPr>
  </w:style>
  <w:style w:type="paragraph" w:styleId="Heading3">
    <w:name w:val="Heading 3"/>
    <w:basedOn w:val="Normal"/>
    <w:autoRedefine/>
    <w:qFormat/>
    <w:rsid w:val="005d4d73"/>
    <w:pPr>
      <w:keepNext w:val="true"/>
      <w:numPr>
        <w:ilvl w:val="2"/>
        <w:numId w:val="1"/>
      </w:numPr>
      <w:spacing w:before="120" w:after="60"/>
      <w:outlineLvl w:val="2"/>
    </w:pPr>
    <w:rPr>
      <w:rFonts w:eastAsia="Calibri"/>
      <w:b/>
      <w:lang w:val="x-none" w:eastAsia="x-none"/>
    </w:rPr>
  </w:style>
  <w:style w:type="paragraph" w:styleId="Heading4">
    <w:name w:val="Heading 4"/>
    <w:basedOn w:val="Heading3"/>
    <w:qFormat/>
    <w:rsid w:val="005d4d73"/>
    <w:pPr>
      <w:numPr>
        <w:ilvl w:val="1"/>
        <w:numId w:val="1"/>
      </w:numPr>
      <w:outlineLvl w:val="1"/>
    </w:pPr>
    <w:rPr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6" w:customStyle="1">
    <w:name w:val="ДТ. Текст"/>
    <w:uiPriority w:val="1"/>
    <w:qFormat/>
    <w:rsid w:val="009d3df3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d3df3"/>
    <w:rPr>
      <w:sz w:val="16"/>
      <w:szCs w:val="16"/>
    </w:rPr>
  </w:style>
  <w:style w:type="character" w:styleId="Doctitleimportant1" w:customStyle="1">
    <w:name w:val="doc__title_important1"/>
    <w:basedOn w:val="DefaultParagraphFont"/>
    <w:qFormat/>
    <w:rsid w:val="009d3df3"/>
    <w:rPr>
      <w:vanish w:val="false"/>
      <w:color w:val="000000"/>
    </w:rPr>
  </w:style>
  <w:style w:type="character" w:styleId="Strong">
    <w:name w:val="Strong"/>
    <w:basedOn w:val="DefaultParagraphFont"/>
    <w:uiPriority w:val="22"/>
    <w:qFormat/>
    <w:rsid w:val="009d3df3"/>
    <w:rPr>
      <w:b/>
      <w:bCs/>
    </w:rPr>
  </w:style>
  <w:style w:type="character" w:styleId="Style7" w:customStyle="1">
    <w:name w:val="Текст примечания Знак"/>
    <w:basedOn w:val="DefaultParagraphFont"/>
    <w:uiPriority w:val="99"/>
    <w:semiHidden/>
    <w:qFormat/>
    <w:rsid w:val="005f0cf1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8" w:customStyle="1">
    <w:name w:val="Тема примечания Знак"/>
    <w:basedOn w:val="Style7"/>
    <w:uiPriority w:val="99"/>
    <w:semiHidden/>
    <w:qFormat/>
    <w:rsid w:val="005f0cf1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Style9" w:customStyle="1">
    <w:name w:val="Текст выноски Знак"/>
    <w:basedOn w:val="DefaultParagraphFont"/>
    <w:uiPriority w:val="99"/>
    <w:semiHidden/>
    <w:qFormat/>
    <w:rsid w:val="005f0cf1"/>
    <w:rPr>
      <w:rFonts w:ascii="Segoe UI" w:hAnsi="Segoe UI" w:eastAsia="Times New Roman" w:cs="Segoe UI"/>
      <w:sz w:val="18"/>
      <w:szCs w:val="18"/>
      <w:lang w:eastAsia="ru-RU"/>
    </w:rPr>
  </w:style>
  <w:style w:type="character" w:styleId="Style10" w:customStyle="1">
    <w:name w:val="комментарий"/>
    <w:qFormat/>
    <w:rsid w:val="00eb3799"/>
    <w:rPr>
      <w:i/>
      <w:shd w:fill="FFFF99" w:val="clear"/>
    </w:rPr>
  </w:style>
  <w:style w:type="character" w:styleId="1" w:customStyle="1">
    <w:name w:val="Заголовок 1 Знак"/>
    <w:basedOn w:val="DefaultParagraphFont"/>
    <w:qFormat/>
    <w:rsid w:val="005d4d73"/>
    <w:rPr>
      <w:rFonts w:ascii="Times New Roman" w:hAnsi="Times New Roman" w:eastAsia="Calibri" w:cs="Times New Roman"/>
      <w:b/>
      <w:sz w:val="28"/>
      <w:szCs w:val="28"/>
      <w:lang w:val="x-none" w:eastAsia="x-none"/>
    </w:rPr>
  </w:style>
  <w:style w:type="character" w:styleId="3" w:customStyle="1">
    <w:name w:val="Заголовок 3 Знак"/>
    <w:basedOn w:val="DefaultParagraphFont"/>
    <w:qFormat/>
    <w:rsid w:val="005d4d73"/>
    <w:rPr>
      <w:rFonts w:ascii="Times New Roman" w:hAnsi="Times New Roman" w:eastAsia="Calibri" w:cs="Times New Roman"/>
      <w:b/>
      <w:sz w:val="24"/>
      <w:szCs w:val="24"/>
      <w:lang w:val="x-none" w:eastAsia="x-none"/>
    </w:rPr>
  </w:style>
  <w:style w:type="character" w:styleId="4" w:customStyle="1">
    <w:name w:val="Заголовок 4 Знак"/>
    <w:basedOn w:val="DefaultParagraphFont"/>
    <w:qFormat/>
    <w:rsid w:val="005d4d73"/>
    <w:rPr>
      <w:rFonts w:ascii="Times New Roman" w:hAnsi="Times New Roman" w:eastAsia="Calibri" w:cs="Times New Roman"/>
      <w:b/>
      <w:bCs/>
      <w:sz w:val="24"/>
      <w:szCs w:val="24"/>
      <w:lang w:val="x-none" w:eastAsia="x-none"/>
    </w:rPr>
  </w:style>
  <w:style w:type="character" w:styleId="Style11" w:customStyle="1">
    <w:name w:val="Абзац списка Знак"/>
    <w:uiPriority w:val="34"/>
    <w:qFormat/>
    <w:locked/>
    <w:rsid w:val="00962f0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Hyperlink">
    <w:name w:val="Hyperlink"/>
    <w:rsid w:val="00461830"/>
    <w:rPr>
      <w:color w:val="0000FF"/>
      <w:u w:val="single"/>
    </w:rPr>
  </w:style>
  <w:style w:type="character" w:styleId="Style12" w:customStyle="1">
    <w:name w:val="Текст сноски Знак"/>
    <w:basedOn w:val="DefaultParagraphFont"/>
    <w:uiPriority w:val="99"/>
    <w:semiHidden/>
    <w:qFormat/>
    <w:rsid w:val="000c0a7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3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Markedcontent" w:customStyle="1">
    <w:name w:val="markedcontent"/>
    <w:basedOn w:val="DefaultParagraphFont"/>
    <w:qFormat/>
    <w:rsid w:val="00c55ac5"/>
    <w:rPr/>
  </w:style>
  <w:style w:type="character" w:styleId="Hgkelc" w:customStyle="1">
    <w:name w:val="hgkelc"/>
    <w:basedOn w:val="DefaultParagraphFont"/>
    <w:qFormat/>
    <w:rsid w:val="006a52f9"/>
    <w:rPr/>
  </w:style>
  <w:style w:type="character" w:styleId="Ecattext" w:customStyle="1">
    <w:name w:val="ecattext"/>
    <w:basedOn w:val="DefaultParagraphFont"/>
    <w:qFormat/>
    <w:rsid w:val="00f608cf"/>
    <w:rPr/>
  </w:style>
  <w:style w:type="character" w:styleId="Emphasis">
    <w:name w:val="Emphasis"/>
    <w:basedOn w:val="DefaultParagraphFont"/>
    <w:uiPriority w:val="20"/>
    <w:qFormat/>
    <w:rsid w:val="00d6639e"/>
    <w:rPr>
      <w:i/>
      <w:iCs/>
    </w:rPr>
  </w:style>
  <w:style w:type="character" w:styleId="31" w:customStyle="1">
    <w:name w:val="Основной текст (3)_"/>
    <w:basedOn w:val="DefaultParagraphFont"/>
    <w:qFormat/>
    <w:rsid w:val="00475a94"/>
    <w:rPr>
      <w:shd w:fill="FFFFFF" w:val="clear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6">
    <w:name w:val="Символы концевой сноски"/>
    <w:qFormat/>
    <w:rPr/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Style17">
    <w:name w:val="Символ нумерации"/>
    <w:qFormat/>
    <w:rPr/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9d3df3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uiPriority w:val="99"/>
    <w:semiHidden/>
    <w:unhideWhenUsed/>
    <w:qFormat/>
    <w:rsid w:val="005f0cf1"/>
    <w:pPr/>
    <w:rPr>
      <w:sz w:val="20"/>
      <w:szCs w:val="20"/>
    </w:rPr>
  </w:style>
  <w:style w:type="paragraph" w:styleId="Annotationsubject">
    <w:name w:val="annotation subject"/>
    <w:basedOn w:val="Annotationtext"/>
    <w:uiPriority w:val="99"/>
    <w:semiHidden/>
    <w:unhideWhenUsed/>
    <w:qFormat/>
    <w:rsid w:val="005f0cf1"/>
    <w:pPr/>
    <w:rPr>
      <w:b/>
      <w:bCs/>
    </w:rPr>
  </w:style>
  <w:style w:type="paragraph" w:styleId="BalloonText">
    <w:name w:val="Balloon Text"/>
    <w:basedOn w:val="Normal"/>
    <w:uiPriority w:val="99"/>
    <w:semiHidden/>
    <w:unhideWhenUsed/>
    <w:qFormat/>
    <w:rsid w:val="005f0cf1"/>
    <w:pPr/>
    <w:rPr>
      <w:rFonts w:ascii="Segoe UI" w:hAnsi="Segoe UI" w:cs="Segoe UI"/>
      <w:sz w:val="18"/>
      <w:szCs w:val="18"/>
    </w:rPr>
  </w:style>
  <w:style w:type="paragraph" w:styleId="2" w:customStyle="1">
    <w:name w:val="Заголовок 2 КВВ"/>
    <w:basedOn w:val="Normal"/>
    <w:qFormat/>
    <w:rsid w:val="005d4d73"/>
    <w:pPr>
      <w:keepNext w:val="true"/>
      <w:suppressAutoHyphens w:val="true"/>
      <w:spacing w:before="120" w:after="120"/>
      <w:jc w:val="both"/>
      <w:outlineLvl w:val="0"/>
    </w:pPr>
    <w:rPr>
      <w:b/>
      <w:szCs w:val="20"/>
      <w:lang w:eastAsia="x-none"/>
    </w:rPr>
  </w:style>
  <w:style w:type="paragraph" w:styleId="Style20" w:customStyle="1">
    <w:name w:val="Таблица шапка"/>
    <w:basedOn w:val="Normal"/>
    <w:qFormat/>
    <w:rsid w:val="00962f01"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TOC1">
    <w:name w:val="TOC 1"/>
    <w:basedOn w:val="Normal"/>
    <w:autoRedefine/>
    <w:uiPriority w:val="39"/>
    <w:rsid w:val="00ed4e87"/>
    <w:pPr>
      <w:tabs>
        <w:tab w:val="clear" w:pos="708"/>
        <w:tab w:val="right" w:pos="9912" w:leader="dot"/>
      </w:tabs>
      <w:spacing w:before="120" w:after="0"/>
      <w:jc w:val="center"/>
    </w:pPr>
    <w:rPr>
      <w:rFonts w:cs="Calibri Light (Заголовки)"/>
      <w:b/>
      <w:bCs/>
    </w:rPr>
  </w:style>
  <w:style w:type="paragraph" w:styleId="TOC3">
    <w:name w:val="TOC 3"/>
    <w:basedOn w:val="Normal"/>
    <w:autoRedefine/>
    <w:uiPriority w:val="39"/>
    <w:rsid w:val="00461830"/>
    <w:pPr>
      <w:ind w:left="280" w:hanging="0"/>
    </w:pPr>
    <w:rPr>
      <w:rFonts w:cs="Calibri" w:cstheme="minorHAnsi"/>
      <w:sz w:val="20"/>
      <w:szCs w:val="20"/>
    </w:rPr>
  </w:style>
  <w:style w:type="paragraph" w:styleId="TOC4">
    <w:name w:val="TOC 4"/>
    <w:basedOn w:val="Normal"/>
    <w:autoRedefine/>
    <w:uiPriority w:val="39"/>
    <w:rsid w:val="00461830"/>
    <w:pPr>
      <w:ind w:left="560" w:hanging="0"/>
    </w:pPr>
    <w:rPr>
      <w:rFonts w:cs="Calibri" w:cstheme="minorHAnsi"/>
      <w:sz w:val="20"/>
      <w:szCs w:val="20"/>
    </w:rPr>
  </w:style>
  <w:style w:type="paragraph" w:styleId="FootnoteText">
    <w:name w:val="Footnote Text"/>
    <w:basedOn w:val="Normal"/>
    <w:uiPriority w:val="99"/>
    <w:semiHidden/>
    <w:unhideWhenUsed/>
    <w:qFormat/>
    <w:rsid w:val="000c0a75"/>
    <w:pPr/>
    <w:rPr/>
  </w:style>
  <w:style w:type="paragraph" w:styleId="Style21" w:customStyle="1">
    <w:name w:val="Таблица"/>
    <w:basedOn w:val="Normal"/>
    <w:qFormat/>
    <w:rsid w:val="008d116c"/>
    <w:pPr>
      <w:keepNext w:val="true"/>
      <w:spacing w:before="60" w:after="60"/>
      <w:jc w:val="center"/>
    </w:pPr>
    <w:rPr>
      <w:rFonts w:eastAsia="Calibri"/>
      <w:b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c55ac5"/>
    <w:pPr>
      <w:spacing w:beforeAutospacing="1" w:afterAutospacing="1"/>
    </w:pPr>
    <w:rPr/>
  </w:style>
  <w:style w:type="paragraph" w:styleId="IndexHeading">
    <w:name w:val="Index Heading"/>
    <w:basedOn w:val="Style18"/>
    <w:pPr/>
    <w:rPr/>
  </w:style>
  <w:style w:type="paragraph" w:styleId="TOCHeading">
    <w:name w:val="TOC Heading"/>
    <w:basedOn w:val="Heading1"/>
    <w:uiPriority w:val="39"/>
    <w:unhideWhenUsed/>
    <w:qFormat/>
    <w:rsid w:val="00ed4e87"/>
    <w:pPr>
      <w:keepLines/>
      <w:numPr>
        <w:ilvl w:val="0"/>
        <w:numId w:val="0"/>
      </w:numPr>
      <w:spacing w:lineRule="auto" w:line="259" w:before="240" w:after="0"/>
    </w:pPr>
    <w:rPr>
      <w:rFonts w:ascii="Calibri Light" w:hAnsi="Calibri Light" w:eastAsia="" w:cs="" w:asciiTheme="majorHAnsi" w:cstheme="majorBidi" w:eastAsiaTheme="majorEastAsia" w:hAnsiTheme="majorHAnsi"/>
      <w:b w:val="false"/>
      <w:color w:val="2E74B5" w:themeColor="accent1" w:themeShade="bf"/>
      <w:sz w:val="32"/>
      <w:szCs w:val="32"/>
      <w:lang w:val="ru-RU" w:eastAsia="ru-RU"/>
    </w:rPr>
  </w:style>
  <w:style w:type="paragraph" w:styleId="Default" w:customStyle="1">
    <w:name w:val="Default"/>
    <w:qFormat/>
    <w:rsid w:val="00d31a20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Revision">
    <w:name w:val="Revision"/>
    <w:uiPriority w:val="99"/>
    <w:semiHidden/>
    <w:qFormat/>
    <w:rsid w:val="00b20213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paragraph" w:styleId="32" w:customStyle="1">
    <w:name w:val="Основной текст (3)"/>
    <w:basedOn w:val="Normal"/>
    <w:link w:val="31"/>
    <w:qFormat/>
    <w:rsid w:val="00475a94"/>
    <w:pPr>
      <w:widowControl w:val="false"/>
      <w:shd w:val="clear" w:color="auto" w:fill="FFFFFF"/>
      <w:spacing w:lineRule="exact" w:line="274"/>
      <w:ind w:hanging="140"/>
      <w:jc w:val="righ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Style22">
    <w:name w:val="Содержимое таблицы"/>
    <w:basedOn w:val="Normal"/>
    <w:qFormat/>
    <w:pPr/>
    <w:rPr/>
  </w:style>
  <w:style w:type="paragraph" w:styleId="Style23">
    <w:name w:val="Заголовок таблицы"/>
    <w:basedOn w:val="Style22"/>
    <w:qFormat/>
    <w:pPr/>
    <w:rPr/>
  </w:style>
  <w:style w:type="paragraph" w:styleId="TOC2">
    <w:name w:val="TOC 2"/>
    <w:basedOn w:val="Style19"/>
    <w:pPr/>
    <w:rPr/>
  </w:style>
  <w:style w:type="paragraph" w:styleId="Standard">
    <w:name w:val="Standard"/>
    <w:qFormat/>
    <w:pPr>
      <w:widowControl/>
      <w:suppressAutoHyphens w:val="true"/>
      <w:bidi w:val="0"/>
      <w:spacing w:lineRule="auto" w:line="259" w:before="0" w:after="0"/>
      <w:jc w:val="left"/>
      <w:textAlignment w:val="baseline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25298740571">
    <w:name w:val="25298740571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39"/>
    <w:rsid w:val="008d116c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tepanovaTV@lhp.r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88523-CDCA-48E5-94E8-CD351CE38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Application>AlterOffice/2025.3.0.0$Linux_X86_64 LibreOffice_project/4ba31b6a4271509a884f95065d0a726e9cb2bdbb</Application>
  <AppVersion>15.0000</AppVersion>
  <Pages>9</Pages>
  <Words>1573</Words>
  <Characters>10639</Characters>
  <CharactersWithSpaces>11931</CharactersWithSpaces>
  <Paragraphs>257</Paragraphs>
  <Company>ОАО Ленгидропроект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2024-08-26T08:36:00Z</dcterms:created>
  <dc:creator>Крестьянова Александра Николаевна</dc:creator>
  <dc:description/>
  <dc:language>ru-RU</dc:language>
  <cp:lastModifiedBy>seligerskaiagiu</cp:lastModifiedBy>
  <cp:lastPrinted>2023-06-30T06:42:00Z</cp:lastPrinted>
  <dcterms:modified xsi:type="dcterms:W3CDTF">2026-05-07T17:03:31Z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