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header8.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sz w:val="22"/>
          <w:szCs w:val="22"/>
          <w:lang w:val="en-US"/>
        </w:rPr>
      </w:pPr>
      <w:r>
        <w:rPr>
          <w:sz w:val="22"/>
          <w:szCs w:val="22"/>
          <w:lang w:val="en-US"/>
        </w:rPr>
      </w:r>
    </w:p>
    <w:p>
      <w:pPr>
        <w:pStyle w:val="Normal"/>
        <w:keepNext w:val="true"/>
        <w:keepLines/>
        <w:rPr>
          <w:sz w:val="22"/>
          <w:szCs w:val="22"/>
        </w:rPr>
      </w:pPr>
      <w:r>
        <w:rPr>
          <w:sz w:val="22"/>
          <w:szCs w:val="22"/>
        </w:rPr>
      </w:r>
    </w:p>
    <w:p>
      <w:pPr>
        <w:pStyle w:val="Normal"/>
        <w:keepNext w:val="true"/>
        <w:keepLines/>
        <w:rPr>
          <w:b/>
          <w:i/>
          <w:i/>
          <w:sz w:val="22"/>
          <w:szCs w:val="22"/>
        </w:rPr>
      </w:pPr>
      <w:r>
        <w:rPr>
          <w:b/>
          <w:i/>
          <w:sz w:val="22"/>
          <w:szCs w:val="22"/>
        </w:rPr>
      </w:r>
    </w:p>
    <w:p>
      <w:pPr>
        <w:pStyle w:val="Normal"/>
        <w:keepNext w:val="true"/>
        <w:keepLines/>
        <w:rPr>
          <w:sz w:val="22"/>
          <w:szCs w:val="22"/>
        </w:rPr>
      </w:pPr>
      <w:r>
        <w:rPr>
          <w:sz w:val="22"/>
          <w:szCs w:val="22"/>
        </w:rPr>
      </w:r>
    </w:p>
    <w:p>
      <w:pPr>
        <w:pStyle w:val="Normal"/>
        <w:keepNext w:val="true"/>
        <w:keepLines/>
        <w:rPr>
          <w:sz w:val="22"/>
          <w:szCs w:val="22"/>
        </w:rPr>
      </w:pPr>
      <w:r>
        <w:rPr>
          <w:sz w:val="22"/>
          <w:szCs w:val="22"/>
        </w:rPr>
      </w:r>
    </w:p>
    <w:p>
      <w:pPr>
        <w:pStyle w:val="Normal"/>
        <w:keepNext w:val="true"/>
        <w:keepLines/>
        <w:jc w:val="center"/>
        <w:rPr>
          <w:rFonts w:eastAsia="Calibri"/>
          <w:b/>
          <w:sz w:val="22"/>
          <w:szCs w:val="22"/>
        </w:rPr>
      </w:pPr>
      <w:r>
        <w:rPr>
          <w:rFonts w:eastAsia="Calibri"/>
          <w:b/>
          <w:sz w:val="22"/>
          <w:szCs w:val="22"/>
        </w:rPr>
        <w:t>Технические требования на поставку МТР</w:t>
      </w:r>
    </w:p>
    <w:p>
      <w:pPr>
        <w:pStyle w:val="Normal"/>
        <w:keepNext w:val="true"/>
        <w:keepLines/>
        <w:jc w:val="center"/>
        <w:rPr>
          <w:rFonts w:eastAsia="Calibri"/>
          <w:b/>
          <w:sz w:val="22"/>
          <w:szCs w:val="22"/>
        </w:rPr>
      </w:pPr>
      <w:r>
        <w:rPr>
          <w:rFonts w:eastAsia="Calibri"/>
          <w:b/>
          <w:sz w:val="22"/>
          <w:szCs w:val="22"/>
        </w:rPr>
      </w:r>
    </w:p>
    <w:p>
      <w:pPr>
        <w:sectPr>
          <w:headerReference w:type="default" r:id="rId2"/>
          <w:type w:val="nextPage"/>
          <w:pgSz w:orient="landscape" w:w="16838" w:h="11906"/>
          <w:pgMar w:left="851" w:right="567" w:gutter="0" w:header="680" w:top="737" w:footer="0" w:bottom="397"/>
          <w:pgNumType w:fmt="decimal"/>
          <w:formProt w:val="false"/>
          <w:textDirection w:val="lrTb"/>
          <w:docGrid w:type="default" w:linePitch="381" w:charSpace="0"/>
        </w:sectPr>
        <w:pStyle w:val="19"/>
        <w:numPr>
          <w:ilvl w:val="0"/>
        </w:numPr>
        <w:spacing w:lineRule="auto" w:line="276" w:before="0" w:after="0"/>
        <w:ind w:left="0" w:hanging="0"/>
        <w:jc w:val="center"/>
        <w:outlineLvl w:val="9"/>
        <w:rPr/>
      </w:pPr>
      <w:r>
        <w:rPr>
          <w:rFonts w:ascii="Times New Roman" w:hAnsi="Times New Roman"/>
          <w:b/>
          <w:bCs/>
          <w:i w:val="false"/>
          <w:strike w:val="false"/>
          <w:dstrike w:val="false"/>
          <w:outline w:val="false"/>
          <w:shadow w:val="false"/>
          <w:color w:val="auto"/>
          <w:sz w:val="24"/>
          <w:szCs w:val="24"/>
          <w:u w:val="none"/>
          <w:em w:val="none"/>
        </w:rPr>
        <w:t>Поставка приборов учёта электрической энергии</w:t>
      </w:r>
    </w:p>
    <w:p>
      <w:pPr>
        <w:pStyle w:val="Heading1"/>
        <w:keepLines/>
        <w:numPr>
          <w:ilvl w:val="0"/>
          <w:numId w:val="3"/>
        </w:numPr>
        <w:spacing w:before="120" w:after="0"/>
        <w:ind w:left="357" w:hanging="357"/>
        <w:jc w:val="center"/>
        <w:rPr>
          <w:sz w:val="22"/>
          <w:szCs w:val="22"/>
          <w:lang w:val="ru-RU"/>
        </w:rPr>
      </w:pPr>
      <w:bookmarkStart w:id="0" w:name="_Toc75446566"/>
      <w:bookmarkStart w:id="1" w:name="_Toc51339692"/>
      <w:r>
        <w:rPr>
          <w:sz w:val="22"/>
          <w:szCs w:val="22"/>
          <w:lang w:val="ru-RU"/>
        </w:rPr>
        <w:t>Общие сведения</w:t>
      </w:r>
      <w:bookmarkEnd w:id="0"/>
      <w:bookmarkEnd w:id="1"/>
    </w:p>
    <w:p>
      <w:pPr>
        <w:pStyle w:val="Heading4"/>
        <w:numPr>
          <w:ilvl w:val="1"/>
          <w:numId w:val="3"/>
        </w:numPr>
        <w:spacing w:before="120" w:after="0"/>
        <w:rPr>
          <w:sz w:val="22"/>
          <w:szCs w:val="22"/>
        </w:rPr>
      </w:pPr>
      <w:bookmarkStart w:id="2" w:name="_Toc46743506"/>
      <w:bookmarkStart w:id="3" w:name="_Toc75446568"/>
      <w:r>
        <w:rPr>
          <w:sz w:val="22"/>
          <w:szCs w:val="22"/>
        </w:rPr>
        <w:t>Наименование закупаемой продукции</w:t>
      </w:r>
      <w:bookmarkEnd w:id="2"/>
      <w:bookmarkEnd w:id="3"/>
    </w:p>
    <w:p>
      <w:pPr>
        <w:pStyle w:val="Normal"/>
        <w:widowControl w:val="false"/>
        <w:tabs>
          <w:tab w:val="clear" w:pos="708"/>
          <w:tab w:val="left" w:pos="426" w:leader="none"/>
        </w:tabs>
        <w:spacing w:before="120" w:after="0"/>
        <w:jc w:val="both"/>
        <w:rPr>
          <w:b/>
          <w:i/>
          <w:i/>
          <w:sz w:val="22"/>
          <w:szCs w:val="22"/>
        </w:rPr>
      </w:pPr>
      <w:r>
        <w:rPr>
          <w:b/>
          <w:i/>
          <w:sz w:val="22"/>
          <w:szCs w:val="22"/>
        </w:rPr>
        <w:t>Приборы учета электрической энергии для выполнения договоров технологического присоединения</w:t>
      </w:r>
    </w:p>
    <w:p>
      <w:pPr>
        <w:pStyle w:val="Normal"/>
        <w:widowControl w:val="false"/>
        <w:tabs>
          <w:tab w:val="clear" w:pos="708"/>
          <w:tab w:val="left" w:pos="426" w:leader="none"/>
        </w:tabs>
        <w:spacing w:before="120" w:after="0"/>
        <w:jc w:val="both"/>
        <w:rPr>
          <w:b/>
          <w:i/>
          <w:i/>
          <w:sz w:val="22"/>
          <w:szCs w:val="22"/>
        </w:rPr>
      </w:pPr>
      <w:r>
        <w:rPr>
          <w:b/>
          <w:i/>
          <w:sz w:val="22"/>
          <w:szCs w:val="22"/>
        </w:rPr>
      </w:r>
    </w:p>
    <w:p>
      <w:pPr>
        <w:pStyle w:val="Normal"/>
        <w:widowControl w:val="false"/>
        <w:tabs>
          <w:tab w:val="clear" w:pos="708"/>
          <w:tab w:val="left" w:pos="426" w:leader="none"/>
        </w:tabs>
        <w:spacing w:before="120" w:after="0"/>
        <w:jc w:val="both"/>
        <w:rPr>
          <w:rFonts w:ascii="Liberation Serif" w:hAnsi="Liberation Serif"/>
          <w:b/>
          <w:sz w:val="22"/>
          <w:szCs w:val="22"/>
        </w:rPr>
      </w:pPr>
      <w:r>
        <w:rPr>
          <w:rFonts w:ascii="Liberation Serif" w:hAnsi="Liberation Serif"/>
          <w:b/>
          <w:sz w:val="22"/>
          <w:szCs w:val="22"/>
        </w:rPr>
      </w:r>
    </w:p>
    <w:tbl>
      <w:tblPr>
        <w:tblStyle w:val="affffb"/>
        <w:tblW w:w="15072"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696"/>
        <w:gridCol w:w="2760"/>
        <w:gridCol w:w="11616"/>
      </w:tblGrid>
      <w:tr>
        <w:trPr/>
        <w:tc>
          <w:tcPr>
            <w:tcW w:w="69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w:t>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Сокращение</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Расшифровка</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ИСУ</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Интеллектуальная система учета (электроэнергии и мощности)</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ПУ</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Прибор учета</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ТТ</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Технические требования</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АИИС КУЭ</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Автоматизированная информационно-измерительная система коммерческого учета электроэнергии</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Модуль АИИС КУЭ облачной платформы энергоданных РусГидро</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Информационно вычислительный комплекс на базе программного обеспечения Пирамида 2.0 (ООО «АСТЭК»), функционирующий с использованием технологий распределенной обработки и хранения данных</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RF</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Radio frequency) – радиочастотный канал связи</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lang w:val="en-US"/>
              </w:rPr>
            </w:pPr>
            <w:r>
              <w:rPr>
                <w:rFonts w:eastAsia="Times New Roman" w:cs="Times New Roman" w:ascii="Liberation Serif" w:hAnsi="Liberation Serif"/>
                <w:kern w:val="0"/>
                <w:sz w:val="24"/>
                <w:szCs w:val="24"/>
                <w:lang w:val="en-US" w:eastAsia="ru-RU" w:bidi="ar-SA"/>
              </w:rPr>
              <w:t>NB-IoT / LTE CAT-NB</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Narrow Band Internet of Things) — стандарт сотовой связи для устройств телеметрии с низкими объёмами обмена данными.</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GPRS / GSM</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General Packet Radio Service — «пакетная радиосвязь общего пользования») — надстройка над технологией мобильной связи GSM, осуществляющая пакетную передачу данных.</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DLMS</w:t>
            </w:r>
          </w:p>
        </w:tc>
        <w:tc>
          <w:tcPr>
            <w:tcW w:w="11616" w:type="dxa"/>
            <w:tcBorders/>
          </w:tcPr>
          <w:p>
            <w:pPr>
              <w:pStyle w:val="Normal"/>
              <w:widowControl w:val="false"/>
              <w:suppressAutoHyphens w:val="true"/>
              <w:spacing w:before="0" w:after="0"/>
              <w:jc w:val="left"/>
              <w:rPr>
                <w:rFonts w:ascii="Liberation Serif" w:hAnsi="Liberation Serif"/>
                <w:sz w:val="24"/>
                <w:szCs w:val="24"/>
                <w:lang w:val="en-US"/>
              </w:rPr>
            </w:pPr>
            <w:r>
              <w:rPr>
                <w:rFonts w:eastAsia="Times New Roman" w:cs="Times New Roman" w:ascii="Liberation Serif" w:hAnsi="Liberation Serif"/>
                <w:kern w:val="0"/>
                <w:sz w:val="24"/>
                <w:szCs w:val="24"/>
                <w:lang w:val="ru-RU" w:eastAsia="ru-RU" w:bidi="ar-SA"/>
              </w:rPr>
              <w:t xml:space="preserve">открытый протокол для обмена данными с приборами учета. </w:t>
            </w:r>
            <w:r>
              <w:rPr>
                <w:rFonts w:eastAsia="Times New Roman" w:cs="Times New Roman" w:ascii="Liberation Serif" w:hAnsi="Liberation Serif"/>
                <w:kern w:val="0"/>
                <w:sz w:val="24"/>
                <w:szCs w:val="24"/>
                <w:lang w:val="en-US" w:eastAsia="ru-RU" w:bidi="ar-SA"/>
              </w:rPr>
              <w:t>DLMS (Device Language Message Specification) / COSEM (Companion Specification for Energy Metering) – общее название серии международных документов.</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lang w:val="en-US"/>
              </w:rPr>
            </w:pPr>
            <w:r>
              <w:rPr>
                <w:rFonts w:ascii="Liberation Serif" w:hAnsi="Liberation Serif"/>
                <w:lang w:val="en-US"/>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СПОДЭС</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спецификация протокола обмена данными электронных счетчиков) – реализована на базе европейского единого протокола систем учета энергоресурсов «</w:t>
            </w:r>
            <w:r>
              <w:rPr>
                <w:rFonts w:eastAsia="Times New Roman" w:cs="Times New Roman" w:ascii="Liberation Serif" w:hAnsi="Liberation Serif"/>
                <w:kern w:val="0"/>
                <w:sz w:val="24"/>
                <w:szCs w:val="24"/>
                <w:lang w:val="en-US" w:eastAsia="ru-RU" w:bidi="ar-SA"/>
              </w:rPr>
              <w:t>DLMS</w:t>
            </w:r>
            <w:r>
              <w:rPr>
                <w:rFonts w:eastAsia="Times New Roman" w:cs="Times New Roman" w:ascii="Liberation Serif" w:hAnsi="Liberation Serif"/>
                <w:kern w:val="0"/>
                <w:sz w:val="24"/>
                <w:szCs w:val="24"/>
                <w:lang w:val="ru-RU" w:eastAsia="ru-RU" w:bidi="ar-SA"/>
              </w:rPr>
              <w:t>/</w:t>
            </w:r>
            <w:r>
              <w:rPr>
                <w:rFonts w:eastAsia="Times New Roman" w:cs="Times New Roman" w:ascii="Liberation Serif" w:hAnsi="Liberation Serif"/>
                <w:kern w:val="0"/>
                <w:sz w:val="24"/>
                <w:szCs w:val="24"/>
                <w:lang w:val="en-US" w:eastAsia="ru-RU" w:bidi="ar-SA"/>
              </w:rPr>
              <w:t>COSEM</w:t>
            </w:r>
            <w:r>
              <w:rPr>
                <w:rFonts w:eastAsia="Times New Roman" w:cs="Times New Roman" w:ascii="Liberation Serif" w:hAnsi="Liberation Serif"/>
                <w:kern w:val="0"/>
                <w:sz w:val="24"/>
                <w:szCs w:val="24"/>
                <w:lang w:val="ru-RU" w:eastAsia="ru-RU" w:bidi="ar-SA"/>
              </w:rPr>
              <w:t>», позволяет обеспечить совместимость счетчиков различных производителей.</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ЖКИ</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Жидкокристаллический дисплей</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lang w:val="en-US"/>
              </w:rPr>
            </w:pPr>
            <w:r>
              <w:rPr>
                <w:rFonts w:ascii="Liberation Serif" w:hAnsi="Liberation Serif"/>
                <w:lang w:val="en-US"/>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СМС</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 xml:space="preserve">технология приёма и передачи коротких текстовых сообщений с помощью </w:t>
            </w:r>
            <w:r>
              <w:rPr>
                <w:rFonts w:eastAsia="Times New Roman" w:cs="Times New Roman" w:ascii="Liberation Serif" w:hAnsi="Liberation Serif"/>
                <w:kern w:val="0"/>
                <w:sz w:val="24"/>
                <w:szCs w:val="24"/>
                <w:lang w:val="en-US" w:eastAsia="ru-RU" w:bidi="ar-SA"/>
              </w:rPr>
              <w:t xml:space="preserve">GSM </w:t>
            </w:r>
            <w:r>
              <w:rPr>
                <w:rFonts w:eastAsia="Times New Roman" w:cs="Times New Roman" w:ascii="Liberation Serif" w:hAnsi="Liberation Serif"/>
                <w:kern w:val="0"/>
                <w:sz w:val="24"/>
                <w:szCs w:val="24"/>
                <w:lang w:val="ru-RU" w:eastAsia="ru-RU" w:bidi="ar-SA"/>
              </w:rPr>
              <w:t>сети.</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APN</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Access Point Name) - идентификатор сети пакетной передачи данных</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MCC</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Mobile Country Code) - мобильный код страны.</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ICCID</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 xml:space="preserve">(англ. </w:t>
            </w:r>
            <w:r>
              <w:rPr>
                <w:rFonts w:eastAsia="Times New Roman" w:cs="Times New Roman" w:ascii="Liberation Serif" w:hAnsi="Liberation Serif"/>
                <w:kern w:val="0"/>
                <w:sz w:val="24"/>
                <w:szCs w:val="24"/>
                <w:lang w:val="en-US" w:eastAsia="ru-RU" w:bidi="ar-SA"/>
              </w:rPr>
              <w:t>Integrated</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Circuit</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Card</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Identifier</w:t>
            </w:r>
            <w:r>
              <w:rPr>
                <w:rFonts w:eastAsia="Times New Roman" w:cs="Times New Roman" w:ascii="Liberation Serif" w:hAnsi="Liberation Serif"/>
                <w:kern w:val="0"/>
                <w:sz w:val="24"/>
                <w:szCs w:val="24"/>
                <w:lang w:val="ru-RU" w:eastAsia="ru-RU" w:bidi="ar-SA"/>
              </w:rPr>
              <w:t xml:space="preserve">) - идентификационный код микросхемы, уникальный международный номер </w:t>
            </w:r>
            <w:r>
              <w:rPr>
                <w:rFonts w:eastAsia="Times New Roman" w:cs="Times New Roman" w:ascii="Liberation Serif" w:hAnsi="Liberation Serif"/>
                <w:kern w:val="0"/>
                <w:sz w:val="24"/>
                <w:szCs w:val="24"/>
                <w:lang w:val="en-US" w:eastAsia="ru-RU" w:bidi="ar-SA"/>
              </w:rPr>
              <w:t>SIM</w:t>
            </w:r>
            <w:r>
              <w:rPr>
                <w:rFonts w:eastAsia="Times New Roman" w:cs="Times New Roman" w:ascii="Liberation Serif" w:hAnsi="Liberation Serif"/>
                <w:kern w:val="0"/>
                <w:sz w:val="24"/>
                <w:szCs w:val="24"/>
                <w:lang w:val="ru-RU" w:eastAsia="ru-RU" w:bidi="ar-SA"/>
              </w:rPr>
              <w:t>-карты</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IMEI</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 xml:space="preserve">(англ. </w:t>
            </w:r>
            <w:r>
              <w:rPr>
                <w:rFonts w:eastAsia="Times New Roman" w:cs="Times New Roman" w:ascii="Liberation Serif" w:hAnsi="Liberation Serif"/>
                <w:kern w:val="0"/>
                <w:sz w:val="24"/>
                <w:szCs w:val="24"/>
                <w:lang w:val="en-US" w:eastAsia="ru-RU" w:bidi="ar-SA"/>
              </w:rPr>
              <w:t>International</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Mobile</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Equipment</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Identity</w:t>
            </w:r>
            <w:r>
              <w:rPr>
                <w:rFonts w:eastAsia="Times New Roman" w:cs="Times New Roman" w:ascii="Liberation Serif" w:hAnsi="Liberation Serif"/>
                <w:kern w:val="0"/>
                <w:sz w:val="24"/>
                <w:szCs w:val="24"/>
                <w:lang w:val="ru-RU" w:eastAsia="ru-RU" w:bidi="ar-SA"/>
              </w:rPr>
              <w:t xml:space="preserve"> - международный идентификатор мобильного оборудования</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QR-</w:t>
            </w:r>
            <w:r>
              <w:rPr>
                <w:rFonts w:eastAsia="Times New Roman" w:cs="Times New Roman" w:ascii="Liberation Serif" w:hAnsi="Liberation Serif"/>
                <w:kern w:val="0"/>
                <w:sz w:val="24"/>
                <w:szCs w:val="24"/>
                <w:lang w:val="ru-RU" w:eastAsia="ru-RU" w:bidi="ar-SA"/>
              </w:rPr>
              <w:t>код</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(англ. Quick Response code) — код быстрого отклика</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ПО</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Программное обеспечение</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TCP/IP</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 xml:space="preserve">(анг. </w:t>
            </w:r>
            <w:r>
              <w:rPr>
                <w:rFonts w:eastAsia="Times New Roman" w:cs="Times New Roman" w:ascii="Liberation Serif" w:hAnsi="Liberation Serif"/>
                <w:kern w:val="0"/>
                <w:sz w:val="24"/>
                <w:szCs w:val="24"/>
                <w:lang w:val="en-US" w:eastAsia="ru-RU" w:bidi="ar-SA"/>
              </w:rPr>
              <w:t>Transmission</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Control</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Protocol</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TCP</w:t>
            </w:r>
            <w:r>
              <w:rPr>
                <w:rFonts w:eastAsia="Times New Roman" w:cs="Times New Roman" w:ascii="Liberation Serif" w:hAnsi="Liberation Serif"/>
                <w:kern w:val="0"/>
                <w:sz w:val="24"/>
                <w:szCs w:val="24"/>
                <w:lang w:val="ru-RU" w:eastAsia="ru-RU" w:bidi="ar-SA"/>
              </w:rPr>
              <w:t xml:space="preserve">) и </w:t>
            </w:r>
            <w:r>
              <w:rPr>
                <w:rFonts w:eastAsia="Times New Roman" w:cs="Times New Roman" w:ascii="Liberation Serif" w:hAnsi="Liberation Serif"/>
                <w:kern w:val="0"/>
                <w:sz w:val="24"/>
                <w:szCs w:val="24"/>
                <w:lang w:val="en-US" w:eastAsia="ru-RU" w:bidi="ar-SA"/>
              </w:rPr>
              <w:t>Internet</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Protocol</w:t>
            </w:r>
            <w:r>
              <w:rPr>
                <w:rFonts w:eastAsia="Times New Roman" w:cs="Times New Roman" w:ascii="Liberation Serif" w:hAnsi="Liberation Serif"/>
                <w:kern w:val="0"/>
                <w:sz w:val="24"/>
                <w:szCs w:val="24"/>
                <w:lang w:val="ru-RU" w:eastAsia="ru-RU" w:bidi="ar-SA"/>
              </w:rPr>
              <w:t xml:space="preserve"> (</w:t>
            </w:r>
            <w:r>
              <w:rPr>
                <w:rFonts w:eastAsia="Times New Roman" w:cs="Times New Roman" w:ascii="Liberation Serif" w:hAnsi="Liberation Serif"/>
                <w:kern w:val="0"/>
                <w:sz w:val="24"/>
                <w:szCs w:val="24"/>
                <w:lang w:val="en-US" w:eastAsia="ru-RU" w:bidi="ar-SA"/>
              </w:rPr>
              <w:t>IP</w:t>
            </w:r>
            <w:r>
              <w:rPr>
                <w:rFonts w:eastAsia="Times New Roman" w:cs="Times New Roman" w:ascii="Liberation Serif" w:hAnsi="Liberation Serif"/>
                <w:kern w:val="0"/>
                <w:sz w:val="24"/>
                <w:szCs w:val="24"/>
                <w:lang w:val="ru-RU" w:eastAsia="ru-RU" w:bidi="ar-SA"/>
              </w:rPr>
              <w:t>)) - набор интернет-протоколов обеспечивает сквозную передачу данных, определяющую, как данные должны пакетироваться, обрабатываться, передаваться, маршрутизироваться и приниматься.</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ППО</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Предпроектное обследование</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СМР</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Строительно-монтажные работы</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ПНР</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Пусконаладочные работы</w:t>
            </w:r>
          </w:p>
        </w:tc>
      </w:tr>
      <w:tr>
        <w:trPr/>
        <w:tc>
          <w:tcPr>
            <w:tcW w:w="696" w:type="dxa"/>
            <w:tcBorders/>
          </w:tcPr>
          <w:p>
            <w:pPr>
              <w:pStyle w:val="ListParagraph"/>
              <w:widowControl w:val="false"/>
              <w:numPr>
                <w:ilvl w:val="0"/>
                <w:numId w:val="7"/>
              </w:numPr>
              <w:suppressAutoHyphens w:val="true"/>
              <w:spacing w:before="0" w:after="0"/>
              <w:ind w:left="0" w:hanging="0"/>
              <w:contextualSpacing/>
              <w:jc w:val="left"/>
              <w:rPr>
                <w:rFonts w:ascii="Liberation Serif" w:hAnsi="Liberation Serif"/>
              </w:rPr>
            </w:pPr>
            <w:r>
              <w:rPr>
                <w:rFonts w:ascii="Liberation Serif" w:hAnsi="Liberation Serif"/>
              </w:rPr>
            </w:r>
          </w:p>
        </w:tc>
        <w:tc>
          <w:tcPr>
            <w:tcW w:w="2760"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en-US" w:eastAsia="ru-RU" w:bidi="ar-SA"/>
              </w:rPr>
              <w:t>M2M (proxy)</w:t>
            </w:r>
          </w:p>
        </w:tc>
        <w:tc>
          <w:tcPr>
            <w:tcW w:w="11616" w:type="dxa"/>
            <w:tcBorders/>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kern w:val="0"/>
                <w:sz w:val="24"/>
                <w:szCs w:val="24"/>
                <w:lang w:val="ru-RU" w:eastAsia="ru-RU" w:bidi="ar-SA"/>
              </w:rPr>
              <w:t>(анг. Mashine-to-Mashine) - «от устройства к устройству». Программное обеспечение реализующее обмена данными между устройствами и верхним уровнем ИСУ.</w:t>
            </w:r>
          </w:p>
        </w:tc>
      </w:tr>
    </w:tbl>
    <w:p>
      <w:pPr>
        <w:pStyle w:val="Heading1"/>
        <w:keepLines/>
        <w:numPr>
          <w:ilvl w:val="0"/>
          <w:numId w:val="3"/>
        </w:numPr>
        <w:spacing w:before="120" w:after="0"/>
        <w:ind w:left="357" w:hanging="357"/>
        <w:jc w:val="center"/>
        <w:rPr>
          <w:iCs/>
          <w:caps/>
          <w:sz w:val="22"/>
          <w:szCs w:val="22"/>
          <w:lang w:val="ru-RU"/>
        </w:rPr>
      </w:pPr>
      <w:bookmarkStart w:id="4" w:name="_Toc51339693"/>
      <w:bookmarkStart w:id="5" w:name="_Toc75446573"/>
      <w:bookmarkStart w:id="6" w:name="_Toc50125126"/>
      <w:bookmarkEnd w:id="6"/>
      <w:r>
        <w:rPr>
          <w:iCs/>
          <w:sz w:val="22"/>
          <w:szCs w:val="22"/>
        </w:rPr>
        <w:t>Требования к продукции</w:t>
      </w:r>
      <w:bookmarkEnd w:id="4"/>
      <w:bookmarkEnd w:id="5"/>
    </w:p>
    <w:p>
      <w:pPr>
        <w:pStyle w:val="Heading4"/>
        <w:numPr>
          <w:ilvl w:val="1"/>
          <w:numId w:val="3"/>
        </w:numPr>
        <w:spacing w:before="120" w:after="0"/>
        <w:rPr>
          <w:sz w:val="22"/>
          <w:szCs w:val="22"/>
        </w:rPr>
      </w:pPr>
      <w:bookmarkStart w:id="7" w:name="_Toc75446574"/>
      <w:r>
        <w:rPr>
          <w:sz w:val="22"/>
          <w:szCs w:val="22"/>
        </w:rPr>
        <w:t xml:space="preserve">Требования к объемам и срокам </w:t>
      </w:r>
      <w:r>
        <w:rPr>
          <w:sz w:val="22"/>
          <w:szCs w:val="22"/>
          <w:lang w:val="ru-RU"/>
        </w:rPr>
        <w:t>поставки</w:t>
      </w:r>
      <w:bookmarkEnd w:id="7"/>
    </w:p>
    <w:p>
      <w:pPr>
        <w:pStyle w:val="Heading3"/>
        <w:numPr>
          <w:ilvl w:val="2"/>
          <w:numId w:val="3"/>
        </w:numPr>
        <w:spacing w:before="120" w:after="0"/>
        <w:rPr>
          <w:sz w:val="22"/>
          <w:szCs w:val="22"/>
        </w:rPr>
      </w:pPr>
      <w:bookmarkStart w:id="8" w:name="_Toc75446575"/>
      <w:r>
        <w:rPr>
          <w:sz w:val="22"/>
          <w:szCs w:val="22"/>
          <w:lang w:val="ru-RU"/>
        </w:rPr>
        <w:t>Перечень и объем закупаемой продукции</w:t>
      </w:r>
      <w:bookmarkEnd w:id="8"/>
    </w:p>
    <w:p>
      <w:pPr>
        <w:pStyle w:val="Heading1"/>
        <w:keepLines/>
        <w:numPr>
          <w:ilvl w:val="0"/>
          <w:numId w:val="0"/>
        </w:numPr>
        <w:spacing w:before="240" w:after="0"/>
        <w:ind w:left="0" w:hanging="0"/>
        <w:rPr>
          <w:sz w:val="22"/>
          <w:szCs w:val="22"/>
          <w:lang w:val="ru-RU"/>
        </w:rPr>
      </w:pPr>
      <w:bookmarkStart w:id="9" w:name="_Toc75446576"/>
      <w:bookmarkStart w:id="10" w:name="_Toc51339695"/>
      <w:r>
        <w:rPr>
          <w:sz w:val="22"/>
          <w:szCs w:val="22"/>
        </w:rPr>
        <w:t xml:space="preserve">Таблица </w:t>
      </w:r>
      <w:r>
        <w:rPr>
          <w:sz w:val="22"/>
          <w:szCs w:val="22"/>
          <w:lang w:val="ru-RU"/>
        </w:rPr>
        <w:t>1.</w:t>
      </w:r>
      <w:r>
        <w:rPr>
          <w:sz w:val="22"/>
          <w:szCs w:val="22"/>
        </w:rPr>
        <w:t xml:space="preserve"> </w:t>
      </w:r>
      <w:r>
        <w:rPr>
          <w:sz w:val="22"/>
          <w:szCs w:val="22"/>
          <w:lang w:val="ru-RU"/>
        </w:rPr>
        <w:t xml:space="preserve">Перечень </w:t>
      </w:r>
      <w:bookmarkEnd w:id="10"/>
      <w:r>
        <w:rPr>
          <w:sz w:val="22"/>
          <w:szCs w:val="22"/>
          <w:lang w:val="ru-RU"/>
        </w:rPr>
        <w:t>и объем закупаемой продукции</w:t>
      </w:r>
      <w:bookmarkEnd w:id="9"/>
    </w:p>
    <w:tbl>
      <w:tblPr>
        <w:tblW w:w="14572" w:type="dxa"/>
        <w:jc w:val="left"/>
        <w:tblInd w:w="-5" w:type="dxa"/>
        <w:tblLayout w:type="fixed"/>
        <w:tblCellMar>
          <w:top w:w="0" w:type="dxa"/>
          <w:left w:w="108" w:type="dxa"/>
          <w:bottom w:w="0" w:type="dxa"/>
          <w:right w:w="108" w:type="dxa"/>
        </w:tblCellMar>
        <w:tblLook w:val="0000" w:noHBand="0" w:noVBand="0" w:firstColumn="0" w:lastRow="0" w:lastColumn="0" w:firstRow="0"/>
      </w:tblPr>
      <w:tblGrid>
        <w:gridCol w:w="565"/>
        <w:gridCol w:w="11739"/>
        <w:gridCol w:w="1134"/>
        <w:gridCol w:w="1133"/>
      </w:tblGrid>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r>
          </w:p>
        </w:tc>
        <w:tc>
          <w:tcPr>
            <w:tcW w:w="14006" w:type="dxa"/>
            <w:gridSpan w:val="3"/>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r>
          </w:p>
        </w:tc>
      </w:tr>
      <w:tr>
        <w:trPr/>
        <w:tc>
          <w:tcPr>
            <w:tcW w:w="565" w:type="dxa"/>
            <w:vMerge w:val="restart"/>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b/>
                <w:sz w:val="24"/>
                <w:szCs w:val="24"/>
              </w:rPr>
              <w:t>№</w:t>
            </w:r>
          </w:p>
          <w:p>
            <w:pPr>
              <w:pStyle w:val="Normal"/>
              <w:keepNext w:val="true"/>
              <w:widowControl w:val="false"/>
              <w:suppressAutoHyphens w:val="true"/>
              <w:jc w:val="center"/>
              <w:rPr>
                <w:sz w:val="24"/>
                <w:szCs w:val="24"/>
              </w:rPr>
            </w:pPr>
            <w:r>
              <w:rPr>
                <w:b/>
                <w:sz w:val="24"/>
                <w:szCs w:val="24"/>
              </w:rPr>
              <w:t>п/п</w:t>
            </w:r>
          </w:p>
        </w:tc>
        <w:tc>
          <w:tcPr>
            <w:tcW w:w="14006" w:type="dxa"/>
            <w:gridSpan w:val="3"/>
            <w:tcBorders>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b/>
                <w:sz w:val="24"/>
                <w:szCs w:val="24"/>
              </w:rPr>
              <w:t>Требование Заказчика</w:t>
            </w:r>
          </w:p>
        </w:tc>
      </w:tr>
      <w:tr>
        <w:trPr/>
        <w:tc>
          <w:tcPr>
            <w:tcW w:w="56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r>
          </w:p>
        </w:tc>
        <w:tc>
          <w:tcPr>
            <w:tcW w:w="1173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b/>
                <w:sz w:val="24"/>
                <w:szCs w:val="24"/>
              </w:rPr>
              <w:t>Наименование продукции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b/>
                <w:sz w:val="24"/>
                <w:szCs w:val="24"/>
              </w:rPr>
              <w:t>Ед. измер.</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b/>
                <w:sz w:val="24"/>
                <w:szCs w:val="24"/>
              </w:rPr>
              <w:t>Кол-во</w:t>
            </w:r>
          </w:p>
        </w:tc>
      </w:tr>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sz w:val="24"/>
                <w:szCs w:val="24"/>
              </w:rPr>
            </w:pPr>
            <w:r>
              <w:rPr>
                <w:b/>
                <w:sz w:val="24"/>
                <w:szCs w:val="24"/>
              </w:rPr>
              <w:t>1</w:t>
            </w:r>
          </w:p>
        </w:tc>
        <w:tc>
          <w:tcPr>
            <w:tcW w:w="117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sz w:val="24"/>
                <w:szCs w:val="24"/>
              </w:rPr>
            </w:pPr>
            <w:r>
              <w:rPr>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sz w:val="24"/>
                <w:szCs w:val="24"/>
              </w:rPr>
            </w:pPr>
            <w:r>
              <w:rPr>
                <w:b/>
                <w:sz w:val="24"/>
                <w:szCs w:val="24"/>
              </w:rPr>
              <w:t>3</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sz w:val="24"/>
                <w:szCs w:val="24"/>
              </w:rPr>
            </w:pPr>
            <w:r>
              <w:rPr>
                <w:b/>
                <w:sz w:val="24"/>
                <w:szCs w:val="24"/>
              </w:rPr>
              <w:t>4</w:t>
            </w:r>
          </w:p>
        </w:tc>
      </w:tr>
      <w:tr>
        <w:trPr>
          <w:trHeight w:val="39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Liberation Serif" w:hAnsi="Liberation Serif"/>
                <w:sz w:val="24"/>
                <w:szCs w:val="24"/>
              </w:rPr>
            </w:pPr>
            <w:r>
              <w:rPr>
                <w:rFonts w:ascii="Liberation Serif" w:hAnsi="Liberation Serif"/>
                <w:sz w:val="24"/>
                <w:szCs w:val="24"/>
              </w:rPr>
              <w:t>1</w:t>
            </w:r>
          </w:p>
        </w:tc>
        <w:tc>
          <w:tcPr>
            <w:tcW w:w="11739" w:type="dxa"/>
            <w:tcBorders>
              <w:top w:val="single" w:sz="4" w:space="0" w:color="000000"/>
              <w:left w:val="single" w:sz="4" w:space="0" w:color="000000"/>
            </w:tcBorders>
            <w:shd w:color="auto" w:fill="auto" w:val="clear"/>
            <w:vAlign w:val="center"/>
          </w:tcPr>
          <w:p>
            <w:pPr>
              <w:pStyle w:val="Style37"/>
              <w:widowControl w:val="false"/>
              <w:jc w:val="left"/>
              <w:rPr>
                <w:rFonts w:ascii="Liberation Serif" w:hAnsi="Liberation Serif"/>
                <w:color w:val="000000"/>
                <w:sz w:val="24"/>
                <w:szCs w:val="24"/>
              </w:rPr>
            </w:pPr>
            <w:r>
              <w:rPr>
                <w:rFonts w:ascii="Liberation Serif" w:hAnsi="Liberation Serif"/>
                <w:color w:val="000000"/>
                <w:sz w:val="24"/>
                <w:szCs w:val="24"/>
              </w:rPr>
              <w:t>Прибор учета электроэнергии высоковольтный интеллектуальный Нартис-И500-К1Б1-А5SR1-10 кВ-10(100)А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7"/>
              <w:widowControl w:val="false"/>
              <w:jc w:val="center"/>
              <w:rPr>
                <w:rFonts w:ascii="Liberation Serif" w:hAnsi="Liberation Serif"/>
                <w:color w:val="000000"/>
                <w:sz w:val="24"/>
                <w:szCs w:val="24"/>
              </w:rPr>
            </w:pPr>
            <w:r>
              <w:rPr>
                <w:rFonts w:ascii="Liberation Serif" w:hAnsi="Liberation Serif"/>
                <w:color w:val="000000"/>
                <w:sz w:val="24"/>
                <w:szCs w:val="24"/>
              </w:rPr>
              <w:t>шт</w:t>
            </w:r>
          </w:p>
        </w:tc>
        <w:tc>
          <w:tcPr>
            <w:tcW w:w="1133" w:type="dxa"/>
            <w:tcBorders>
              <w:top w:val="single" w:sz="4" w:space="0" w:color="000000"/>
              <w:left w:val="single" w:sz="4" w:space="0" w:color="000000"/>
              <w:right w:val="single" w:sz="4" w:space="0" w:color="000000"/>
            </w:tcBorders>
            <w:shd w:color="auto" w:fill="auto" w:val="clear"/>
            <w:vAlign w:val="center"/>
          </w:tcPr>
          <w:p>
            <w:pPr>
              <w:pStyle w:val="Style37"/>
              <w:widowControl w:val="false"/>
              <w:jc w:val="center"/>
              <w:rPr>
                <w:rFonts w:ascii="Liberation Serif" w:hAnsi="Liberation Serif"/>
                <w:color w:val="000000"/>
                <w:sz w:val="24"/>
                <w:szCs w:val="24"/>
              </w:rPr>
            </w:pPr>
            <w:r>
              <w:rPr>
                <w:rFonts w:ascii="Liberation Serif" w:hAnsi="Liberation Serif"/>
                <w:color w:val="000000"/>
                <w:sz w:val="24"/>
                <w:szCs w:val="24"/>
              </w:rPr>
              <w:t>1</w:t>
            </w:r>
          </w:p>
        </w:tc>
      </w:tr>
      <w:tr>
        <w:trPr/>
        <w:tc>
          <w:tcPr>
            <w:tcW w:w="56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hanging="0"/>
              <w:jc w:val="center"/>
              <w:rPr>
                <w:rFonts w:ascii="Liberation Serif" w:hAnsi="Liberation Serif"/>
                <w:sz w:val="24"/>
                <w:szCs w:val="24"/>
              </w:rPr>
            </w:pPr>
            <w:r>
              <w:rPr>
                <w:rFonts w:ascii="Liberation Serif" w:hAnsi="Liberation Serif"/>
                <w:sz w:val="24"/>
                <w:szCs w:val="24"/>
              </w:rPr>
              <w:t>2</w:t>
            </w:r>
          </w:p>
        </w:tc>
        <w:tc>
          <w:tcPr>
            <w:tcW w:w="11739"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Style37"/>
              <w:widowControl w:val="false"/>
              <w:jc w:val="left"/>
              <w:rPr>
                <w:rFonts w:ascii="Liberation Serif" w:hAnsi="Liberation Serif"/>
                <w:color w:val="000000"/>
                <w:sz w:val="24"/>
                <w:szCs w:val="24"/>
              </w:rPr>
            </w:pPr>
            <w:r>
              <w:rPr>
                <w:rFonts w:ascii="Liberation Serif" w:hAnsi="Liberation Serif"/>
                <w:color w:val="000000"/>
                <w:sz w:val="24"/>
                <w:szCs w:val="24"/>
              </w:rPr>
              <w:t>Прибор учета электроэнергии высоковольтный интеллектуальный Нартис-И500-К1Б1-А5SR1-</w:t>
            </w:r>
            <w:r>
              <w:rPr>
                <w:rFonts w:ascii="Liberation Serif" w:hAnsi="Liberation Serif"/>
                <w:color w:val="000000"/>
                <w:sz w:val="24"/>
                <w:szCs w:val="24"/>
              </w:rPr>
              <w:t>6</w:t>
            </w:r>
            <w:r>
              <w:rPr>
                <w:rFonts w:ascii="Liberation Serif" w:hAnsi="Liberation Serif"/>
                <w:color w:val="000000"/>
                <w:sz w:val="24"/>
                <w:szCs w:val="24"/>
              </w:rPr>
              <w:t xml:space="preserve"> кВ-10(100)А</w:t>
            </w:r>
          </w:p>
        </w:tc>
        <w:tc>
          <w:tcPr>
            <w:tcW w:w="1134" w:type="dxa"/>
            <w:tcBorders>
              <w:top w:val="single" w:sz="4" w:space="0" w:color="000000"/>
              <w:left w:val="single" w:sz="4" w:space="0" w:color="000000"/>
              <w:bottom w:val="single" w:sz="4" w:space="0" w:color="000000"/>
            </w:tcBorders>
            <w:tcMar>
              <w:top w:w="55" w:type="dxa"/>
              <w:bottom w:w="55" w:type="dxa"/>
            </w:tcMar>
            <w:vAlign w:val="center"/>
          </w:tcPr>
          <w:p>
            <w:pPr>
              <w:pStyle w:val="Style37"/>
              <w:widowControl w:val="false"/>
              <w:jc w:val="center"/>
              <w:rPr>
                <w:rFonts w:ascii="Liberation Serif" w:hAnsi="Liberation Serif"/>
                <w:color w:val="000000"/>
                <w:sz w:val="24"/>
                <w:szCs w:val="24"/>
              </w:rPr>
            </w:pPr>
            <w:r>
              <w:rPr>
                <w:rFonts w:ascii="Liberation Serif" w:hAnsi="Liberation Serif"/>
                <w:color w:val="000000"/>
                <w:sz w:val="24"/>
                <w:szCs w:val="24"/>
              </w:rPr>
              <w:t>шт</w:t>
            </w:r>
          </w:p>
        </w:tc>
        <w:tc>
          <w:tcPr>
            <w:tcW w:w="1133" w:type="dxa"/>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Style37"/>
              <w:widowControl w:val="false"/>
              <w:jc w:val="center"/>
              <w:rPr>
                <w:rFonts w:ascii="Liberation Serif" w:hAnsi="Liberation Serif"/>
                <w:color w:val="000000"/>
                <w:sz w:val="24"/>
                <w:szCs w:val="24"/>
              </w:rPr>
            </w:pPr>
            <w:r>
              <w:rPr>
                <w:rFonts w:ascii="Liberation Serif" w:hAnsi="Liberation Serif"/>
                <w:color w:val="000000"/>
                <w:sz w:val="24"/>
                <w:szCs w:val="24"/>
              </w:rPr>
              <w:t>2</w:t>
            </w:r>
          </w:p>
        </w:tc>
      </w:tr>
      <w:tr>
        <w:trPr>
          <w:trHeight w:val="451"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0"/>
              </w:numPr>
              <w:suppressAutoHyphens w:val="true"/>
              <w:ind w:left="0" w:hanging="0"/>
              <w:jc w:val="center"/>
              <w:rPr>
                <w:rFonts w:ascii="Liberation Serif" w:hAnsi="Liberation Serif"/>
                <w:sz w:val="24"/>
                <w:szCs w:val="24"/>
              </w:rPr>
            </w:pPr>
            <w:r>
              <w:rPr>
                <w:rFonts w:ascii="Liberation Serif" w:hAnsi="Liberation Serif"/>
                <w:sz w:val="24"/>
                <w:szCs w:val="24"/>
              </w:rPr>
              <w:t>3</w:t>
            </w:r>
          </w:p>
        </w:tc>
        <w:tc>
          <w:tcPr>
            <w:tcW w:w="11739"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Style37"/>
              <w:widowControl w:val="false"/>
              <w:jc w:val="left"/>
              <w:rPr/>
            </w:pPr>
            <w:r>
              <w:rPr>
                <w:rFonts w:ascii="Liberation Serif" w:hAnsi="Liberation Serif"/>
                <w:color w:val="000000"/>
                <w:sz w:val="24"/>
                <w:szCs w:val="24"/>
              </w:rPr>
              <w:t>Счетчик активной/реактивной энергии ТЕ2000.01.12.00</w:t>
            </w:r>
          </w:p>
        </w:tc>
        <w:tc>
          <w:tcPr>
            <w:tcW w:w="1134" w:type="dxa"/>
            <w:tcBorders>
              <w:top w:val="single" w:sz="4" w:space="0" w:color="000000"/>
              <w:left w:val="single" w:sz="4" w:space="0" w:color="000000"/>
              <w:bottom w:val="single" w:sz="4" w:space="0" w:color="000000"/>
            </w:tcBorders>
            <w:tcMar>
              <w:top w:w="55" w:type="dxa"/>
              <w:bottom w:w="55" w:type="dxa"/>
            </w:tcMar>
            <w:vAlign w:val="center"/>
          </w:tcPr>
          <w:p>
            <w:pPr>
              <w:pStyle w:val="Style37"/>
              <w:widowControl w:val="false"/>
              <w:jc w:val="center"/>
              <w:rPr>
                <w:rFonts w:ascii="Liberation Serif" w:hAnsi="Liberation Serif"/>
                <w:color w:val="000000"/>
                <w:sz w:val="24"/>
                <w:szCs w:val="24"/>
              </w:rPr>
            </w:pPr>
            <w:r>
              <w:rPr>
                <w:rFonts w:ascii="Liberation Serif" w:hAnsi="Liberation Serif"/>
                <w:color w:val="000000"/>
                <w:sz w:val="24"/>
                <w:szCs w:val="24"/>
              </w:rPr>
              <w:t>шт</w:t>
            </w:r>
          </w:p>
        </w:tc>
        <w:tc>
          <w:tcPr>
            <w:tcW w:w="1133" w:type="dxa"/>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ListParagraph"/>
              <w:widowControl w:val="false"/>
              <w:numPr>
                <w:ilvl w:val="0"/>
                <w:numId w:val="0"/>
              </w:numPr>
              <w:suppressAutoHyphens w:val="true"/>
              <w:ind w:left="0" w:hanging="0"/>
              <w:jc w:val="center"/>
              <w:rPr>
                <w:rFonts w:ascii="Liberation Serif" w:hAnsi="Liberation Serif"/>
                <w:sz w:val="24"/>
                <w:szCs w:val="24"/>
              </w:rPr>
            </w:pPr>
            <w:r>
              <w:rPr>
                <w:rFonts w:ascii="Liberation Serif" w:hAnsi="Liberation Serif"/>
                <w:sz w:val="24"/>
                <w:szCs w:val="24"/>
              </w:rPr>
              <w:t>2</w:t>
            </w:r>
          </w:p>
        </w:tc>
      </w:tr>
    </w:tbl>
    <w:p>
      <w:pPr>
        <w:pStyle w:val="Heading3"/>
        <w:numPr>
          <w:ilvl w:val="2"/>
          <w:numId w:val="3"/>
        </w:numPr>
        <w:spacing w:before="120" w:after="0"/>
        <w:rPr>
          <w:highlight w:val="none"/>
          <w:shd w:fill="auto" w:val="clear"/>
        </w:rPr>
      </w:pPr>
      <w:bookmarkStart w:id="11" w:name="_Toc51339696"/>
      <w:bookmarkStart w:id="12" w:name="_Toc75446578"/>
      <w:r>
        <w:rPr>
          <w:sz w:val="22"/>
          <w:szCs w:val="22"/>
          <w:shd w:fill="auto" w:val="clear"/>
          <w:lang w:val="ru-RU"/>
        </w:rPr>
        <w:t xml:space="preserve">Требования </w:t>
      </w:r>
      <w:bookmarkEnd w:id="11"/>
      <w:r>
        <w:rPr>
          <w:sz w:val="22"/>
          <w:szCs w:val="22"/>
          <w:shd w:fill="auto" w:val="clear"/>
          <w:lang w:val="ru-RU"/>
        </w:rPr>
        <w:t xml:space="preserve">к срокам поставки продукции </w:t>
      </w:r>
      <w:bookmarkEnd w:id="12"/>
    </w:p>
    <w:p>
      <w:pPr>
        <w:pStyle w:val="Heading1"/>
        <w:keepLines/>
        <w:numPr>
          <w:ilvl w:val="0"/>
          <w:numId w:val="0"/>
        </w:numPr>
        <w:spacing w:before="240" w:after="0"/>
        <w:ind w:left="0" w:hanging="0"/>
        <w:rPr>
          <w:highlight w:val="none"/>
          <w:shd w:fill="auto" w:val="clear"/>
        </w:rPr>
      </w:pPr>
      <w:bookmarkStart w:id="13" w:name="_Toc50125127"/>
      <w:bookmarkStart w:id="14" w:name="_Toc50125126_Копия_1"/>
      <w:bookmarkStart w:id="15" w:name="_Toc51339697"/>
      <w:bookmarkStart w:id="16" w:name="_Toc75446579"/>
      <w:bookmarkEnd w:id="14"/>
      <w:r>
        <w:rPr>
          <w:sz w:val="22"/>
          <w:szCs w:val="22"/>
          <w:shd w:fill="auto" w:val="clear"/>
        </w:rPr>
        <w:t xml:space="preserve">Таблица </w:t>
      </w:r>
      <w:r>
        <w:rPr>
          <w:sz w:val="22"/>
          <w:szCs w:val="22"/>
          <w:shd w:fill="auto" w:val="clear"/>
          <w:lang w:val="ru-RU"/>
        </w:rPr>
        <w:t>2</w:t>
      </w:r>
      <w:r>
        <w:rPr>
          <w:sz w:val="22"/>
          <w:szCs w:val="22"/>
          <w:shd w:fill="auto" w:val="clear"/>
        </w:rPr>
        <w:t xml:space="preserve">. </w:t>
      </w:r>
      <w:bookmarkStart w:id="17" w:name="_Hlk50465284"/>
      <w:r>
        <w:rPr>
          <w:sz w:val="22"/>
          <w:szCs w:val="22"/>
          <w:shd w:fill="auto" w:val="clear"/>
        </w:rPr>
        <w:t xml:space="preserve">Требования по срокам </w:t>
      </w:r>
      <w:bookmarkEnd w:id="13"/>
      <w:bookmarkEnd w:id="15"/>
      <w:bookmarkEnd w:id="17"/>
      <w:r>
        <w:rPr>
          <w:sz w:val="22"/>
          <w:szCs w:val="22"/>
          <w:shd w:fill="auto" w:val="clear"/>
          <w:lang w:val="ru-RU"/>
        </w:rPr>
        <w:t>поставки продукции</w:t>
      </w:r>
      <w:bookmarkEnd w:id="16"/>
      <w:r>
        <w:rPr>
          <w:sz w:val="22"/>
          <w:szCs w:val="22"/>
          <w:shd w:fill="auto" w:val="clear"/>
          <w:lang w:val="ru-RU"/>
        </w:rPr>
        <w:t xml:space="preserve"> </w:t>
      </w:r>
    </w:p>
    <w:tbl>
      <w:tblPr>
        <w:tblW w:w="145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74"/>
        <w:gridCol w:w="6346"/>
        <w:gridCol w:w="7545"/>
      </w:tblGrid>
      <w:tr>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b/>
                <w:sz w:val="22"/>
                <w:szCs w:val="22"/>
                <w:shd w:fill="auto" w:val="clear"/>
              </w:rPr>
              <w:t xml:space="preserve">№ </w:t>
            </w:r>
            <w:r>
              <w:rPr>
                <w:b/>
                <w:sz w:val="22"/>
                <w:szCs w:val="22"/>
                <w:shd w:fill="auto" w:val="clear"/>
              </w:rPr>
              <w:t>п/п</w:t>
            </w:r>
          </w:p>
        </w:tc>
        <w:tc>
          <w:tcPr>
            <w:tcW w:w="6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
                <w:sz w:val="22"/>
                <w:szCs w:val="22"/>
                <w:shd w:fill="auto" w:val="clear"/>
              </w:rPr>
              <w:t>Требования к началу срока поставки продукции</w:t>
            </w:r>
          </w:p>
        </w:tc>
        <w:tc>
          <w:tcPr>
            <w:tcW w:w="7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
                <w:sz w:val="22"/>
                <w:szCs w:val="22"/>
                <w:shd w:fill="auto" w:val="clear"/>
              </w:rPr>
              <w:t>Требования к окончанию срока поставки продукции</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b/>
                <w:sz w:val="22"/>
                <w:szCs w:val="22"/>
                <w:shd w:fill="auto" w:val="clear"/>
              </w:rPr>
              <w:t>1</w:t>
            </w:r>
          </w:p>
        </w:tc>
        <w:tc>
          <w:tcPr>
            <w:tcW w:w="6346" w:type="dxa"/>
            <w:tcBorders>
              <w:top w:val="single" w:sz="4" w:space="0" w:color="000000"/>
              <w:left w:val="single" w:sz="4" w:space="0" w:color="000000"/>
              <w:bottom w:val="single" w:sz="4" w:space="0" w:color="000000"/>
              <w:right w:val="single" w:sz="4" w:space="0" w:color="000000"/>
            </w:tcBorders>
            <w:vAlign w:val="center"/>
          </w:tcPr>
          <w:p>
            <w:pPr>
              <w:pStyle w:val="Style31"/>
              <w:keepNext w:val="false"/>
              <w:widowControl w:val="false"/>
              <w:spacing w:before="40" w:after="0"/>
              <w:jc w:val="center"/>
              <w:rPr>
                <w:highlight w:val="none"/>
                <w:shd w:fill="auto" w:val="clear"/>
              </w:rPr>
            </w:pPr>
            <w:r>
              <w:rPr>
                <w:b/>
                <w:szCs w:val="22"/>
                <w:shd w:fill="auto" w:val="clear"/>
              </w:rPr>
              <w:t>2</w:t>
            </w:r>
          </w:p>
        </w:tc>
        <w:tc>
          <w:tcPr>
            <w:tcW w:w="7545" w:type="dxa"/>
            <w:tcBorders>
              <w:top w:val="single" w:sz="4" w:space="0" w:color="000000"/>
              <w:left w:val="single" w:sz="4" w:space="0" w:color="000000"/>
              <w:bottom w:val="single" w:sz="4" w:space="0" w:color="000000"/>
              <w:right w:val="single" w:sz="4" w:space="0" w:color="000000"/>
            </w:tcBorders>
            <w:vAlign w:val="center"/>
          </w:tcPr>
          <w:p>
            <w:pPr>
              <w:pStyle w:val="Style31"/>
              <w:keepNext w:val="false"/>
              <w:widowControl w:val="false"/>
              <w:spacing w:before="40" w:after="0"/>
              <w:jc w:val="center"/>
              <w:rPr>
                <w:highlight w:val="none"/>
                <w:shd w:fill="auto" w:val="clear"/>
              </w:rPr>
            </w:pPr>
            <w:r>
              <w:rPr>
                <w:b/>
                <w:szCs w:val="22"/>
                <w:shd w:fill="auto" w:val="clear"/>
              </w:rPr>
              <w:t>3</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8"/>
              </w:numPr>
              <w:suppressAutoHyphens w:val="true"/>
              <w:rPr>
                <w:sz w:val="22"/>
                <w:szCs w:val="22"/>
                <w:highlight w:val="none"/>
                <w:shd w:fill="auto" w:val="clear"/>
              </w:rPr>
            </w:pPr>
            <w:r>
              <w:rPr>
                <w:sz w:val="22"/>
                <w:szCs w:val="22"/>
                <w:shd w:fill="auto" w:val="clear"/>
              </w:rPr>
            </w:r>
          </w:p>
        </w:tc>
        <w:tc>
          <w:tcPr>
            <w:tcW w:w="6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Cs/>
                <w:iCs/>
                <w:sz w:val="24"/>
                <w:szCs w:val="24"/>
                <w:shd w:fill="auto" w:val="clear"/>
              </w:rPr>
              <w:t>С даты подписания договора</w:t>
            </w:r>
          </w:p>
        </w:tc>
        <w:tc>
          <w:tcPr>
            <w:tcW w:w="7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bookmarkStart w:id="18" w:name="_Toc46743510"/>
            <w:r>
              <w:rPr>
                <w:bCs/>
                <w:sz w:val="22"/>
                <w:szCs w:val="22"/>
                <w:shd w:fill="auto" w:val="clear"/>
              </w:rPr>
              <w:t>в течение 80 (восьмидесяти) календарных дней с момента начала поставки</w:t>
            </w:r>
            <w:bookmarkEnd w:id="18"/>
          </w:p>
        </w:tc>
      </w:tr>
    </w:tbl>
    <w:p>
      <w:pPr>
        <w:sectPr>
          <w:headerReference w:type="even" r:id="rId3"/>
          <w:headerReference w:type="default" r:id="rId4"/>
          <w:headerReference w:type="first" r:id="rId5"/>
          <w:type w:val="nextPage"/>
          <w:pgSz w:orient="landscape" w:w="16838" w:h="11906"/>
          <w:pgMar w:left="851" w:right="567" w:gutter="0" w:header="521" w:top="578" w:footer="0" w:bottom="386"/>
          <w:pgNumType w:fmt="decimal"/>
          <w:formProt w:val="false"/>
          <w:textDirection w:val="lrTb"/>
          <w:docGrid w:type="default" w:linePitch="381" w:charSpace="0"/>
        </w:sectPr>
      </w:pPr>
    </w:p>
    <w:p>
      <w:pPr>
        <w:pStyle w:val="Heading4"/>
        <w:numPr>
          <w:ilvl w:val="1"/>
          <w:numId w:val="3"/>
        </w:numPr>
        <w:spacing w:before="120" w:after="0"/>
        <w:rPr>
          <w:highlight w:val="none"/>
          <w:shd w:fill="auto" w:val="clear"/>
        </w:rPr>
      </w:pPr>
      <w:bookmarkStart w:id="19" w:name="_Toc51339698"/>
      <w:bookmarkStart w:id="20" w:name="_Toc75446581"/>
      <w:bookmarkStart w:id="21" w:name="_Toc46743511"/>
      <w:r>
        <w:rPr>
          <w:sz w:val="20"/>
          <w:szCs w:val="20"/>
          <w:shd w:fill="auto" w:val="clear"/>
        </w:rPr>
        <w:t xml:space="preserve">Требования к </w:t>
      </w:r>
      <w:bookmarkEnd w:id="21"/>
      <w:r>
        <w:rPr>
          <w:sz w:val="20"/>
          <w:szCs w:val="20"/>
          <w:shd w:fill="auto" w:val="clear"/>
          <w:lang w:val="ru-RU"/>
        </w:rPr>
        <w:t>качеству продукции</w:t>
      </w:r>
      <w:bookmarkEnd w:id="20"/>
    </w:p>
    <w:p>
      <w:pPr>
        <w:pStyle w:val="Heading1"/>
        <w:keepLines/>
        <w:numPr>
          <w:ilvl w:val="0"/>
          <w:numId w:val="0"/>
        </w:numPr>
        <w:spacing w:before="240" w:after="0"/>
        <w:ind w:left="0" w:hanging="0"/>
        <w:rPr>
          <w:highlight w:val="none"/>
          <w:shd w:fill="auto" w:val="clear"/>
        </w:rPr>
      </w:pPr>
      <w:r>
        <w:rPr>
          <w:sz w:val="20"/>
          <w:szCs w:val="20"/>
          <w:shd w:fill="auto" w:val="clear"/>
        </w:rPr>
        <w:t xml:space="preserve"> </w:t>
      </w:r>
      <w:bookmarkStart w:id="22" w:name="_Toc75446582"/>
      <w:r>
        <w:rPr>
          <w:sz w:val="20"/>
          <w:szCs w:val="20"/>
          <w:shd w:fill="auto" w:val="clear"/>
        </w:rPr>
        <w:t>Таблица </w:t>
      </w:r>
      <w:r>
        <w:rPr>
          <w:sz w:val="20"/>
          <w:szCs w:val="20"/>
          <w:shd w:fill="auto" w:val="clear"/>
          <w:lang w:val="ru-RU"/>
        </w:rPr>
        <w:t>3</w:t>
      </w:r>
      <w:r>
        <w:rPr>
          <w:sz w:val="20"/>
          <w:szCs w:val="20"/>
          <w:shd w:fill="auto" w:val="clear"/>
        </w:rPr>
        <w:t xml:space="preserve">. Требования к </w:t>
      </w:r>
      <w:r>
        <w:rPr>
          <w:sz w:val="20"/>
          <w:szCs w:val="20"/>
          <w:shd w:fill="auto" w:val="clear"/>
          <w:lang w:val="ru-RU"/>
        </w:rPr>
        <w:t>продукции</w:t>
      </w:r>
      <w:bookmarkEnd w:id="22"/>
      <w:r>
        <w:rPr>
          <w:sz w:val="20"/>
          <w:szCs w:val="20"/>
          <w:shd w:fill="auto" w:val="clear"/>
        </w:rPr>
        <w:t xml:space="preserve"> </w:t>
      </w:r>
      <w:bookmarkEnd w:id="19"/>
    </w:p>
    <w:p>
      <w:pPr>
        <w:pStyle w:val="Normal"/>
        <w:jc w:val="both"/>
        <w:rPr/>
      </w:pPr>
      <w:r>
        <w:rPr>
          <w:b/>
          <w:bCs/>
          <w:i/>
          <w:iCs/>
          <w:sz w:val="20"/>
          <w:szCs w:val="20"/>
          <w:shd w:fill="auto" w:val="clear"/>
        </w:rPr>
        <w:t xml:space="preserve">Наименование продукции: </w:t>
      </w:r>
      <w:r>
        <w:rPr>
          <w:rFonts w:eastAsia="Calibri"/>
          <w:b/>
          <w:i/>
          <w:sz w:val="20"/>
          <w:szCs w:val="20"/>
          <w:shd w:fill="auto" w:val="clear"/>
          <w:lang w:eastAsia="x-none"/>
        </w:rPr>
        <w:t>Приборы учета электрической энергии.</w:t>
      </w:r>
    </w:p>
    <w:tbl>
      <w:tblPr>
        <w:tblStyle w:val="af0"/>
        <w:tblW w:w="1575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82"/>
        <w:gridCol w:w="3528"/>
        <w:gridCol w:w="3968"/>
        <w:gridCol w:w="2268"/>
        <w:gridCol w:w="2693"/>
        <w:gridCol w:w="2710"/>
      </w:tblGrid>
      <w:tr>
        <w:trPr/>
        <w:tc>
          <w:tcPr>
            <w:tcW w:w="582" w:type="dxa"/>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 xml:space="preserve">№ </w:t>
            </w:r>
            <w:r>
              <w:rPr>
                <w:rFonts w:eastAsia="Times New Roman" w:cs="Times New Roman"/>
                <w:b/>
                <w:bCs/>
                <w:kern w:val="0"/>
                <w:sz w:val="20"/>
                <w:szCs w:val="20"/>
                <w:shd w:fill="auto" w:val="clear"/>
                <w:lang w:val="ru-RU" w:eastAsia="ru-RU" w:bidi="ar-SA"/>
              </w:rPr>
              <w:t>п/п</w:t>
            </w:r>
          </w:p>
        </w:tc>
        <w:tc>
          <w:tcPr>
            <w:tcW w:w="3528" w:type="dxa"/>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Наименование параметра</w:t>
            </w:r>
          </w:p>
        </w:tc>
        <w:tc>
          <w:tcPr>
            <w:tcW w:w="3968" w:type="dxa"/>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Требование заказчика</w:t>
            </w:r>
          </w:p>
        </w:tc>
        <w:tc>
          <w:tcPr>
            <w:tcW w:w="4961" w:type="dxa"/>
            <w:gridSpan w:val="2"/>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Способ подтверждения участником соответствия требованиям</w:t>
            </w:r>
          </w:p>
        </w:tc>
        <w:tc>
          <w:tcPr>
            <w:tcW w:w="2710" w:type="dxa"/>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Предложение участника по характеристикам и параметрам</w:t>
            </w:r>
          </w:p>
        </w:tc>
      </w:tr>
      <w:tr>
        <w:trPr/>
        <w:tc>
          <w:tcPr>
            <w:tcW w:w="582" w:type="dxa"/>
            <w:vMerge w:val="continue"/>
            <w:tcBorders/>
            <w:vAlign w:val="center"/>
          </w:tcPr>
          <w:p>
            <w:pPr>
              <w:pStyle w:val="Normal"/>
              <w:widowControl w:val="false"/>
              <w:suppressAutoHyphens w:val="true"/>
              <w:spacing w:before="0" w:after="0"/>
              <w:jc w:val="left"/>
              <w:rPr>
                <w:b/>
                <w:bCs/>
                <w:sz w:val="20"/>
                <w:szCs w:val="20"/>
                <w:highlight w:val="none"/>
                <w:shd w:fill="auto" w:val="clear"/>
              </w:rPr>
            </w:pPr>
            <w:r>
              <w:rPr>
                <w:b/>
                <w:bCs/>
                <w:sz w:val="20"/>
                <w:szCs w:val="20"/>
                <w:shd w:fill="auto" w:val="clear"/>
              </w:rPr>
            </w:r>
          </w:p>
        </w:tc>
        <w:tc>
          <w:tcPr>
            <w:tcW w:w="3528" w:type="dxa"/>
            <w:vMerge w:val="continue"/>
            <w:tcBorders/>
            <w:vAlign w:val="center"/>
          </w:tcPr>
          <w:p>
            <w:pPr>
              <w:pStyle w:val="Normal"/>
              <w:widowControl w:val="false"/>
              <w:suppressAutoHyphens w:val="true"/>
              <w:spacing w:before="0" w:after="0"/>
              <w:jc w:val="left"/>
              <w:rPr>
                <w:b/>
                <w:bCs/>
                <w:sz w:val="20"/>
                <w:szCs w:val="20"/>
                <w:highlight w:val="none"/>
                <w:shd w:fill="auto" w:val="clear"/>
              </w:rPr>
            </w:pPr>
            <w:r>
              <w:rPr>
                <w:b/>
                <w:bCs/>
                <w:sz w:val="20"/>
                <w:szCs w:val="20"/>
                <w:shd w:fill="auto" w:val="clear"/>
              </w:rPr>
            </w:r>
          </w:p>
        </w:tc>
        <w:tc>
          <w:tcPr>
            <w:tcW w:w="3968" w:type="dxa"/>
            <w:vMerge w:val="continue"/>
            <w:tcBorders/>
            <w:vAlign w:val="center"/>
          </w:tcPr>
          <w:p>
            <w:pPr>
              <w:pStyle w:val="Normal"/>
              <w:widowControl w:val="false"/>
              <w:suppressAutoHyphens w:val="true"/>
              <w:spacing w:before="0" w:after="0"/>
              <w:jc w:val="left"/>
              <w:rPr>
                <w:b/>
                <w:bCs/>
                <w:sz w:val="20"/>
                <w:szCs w:val="20"/>
                <w:highlight w:val="none"/>
                <w:shd w:fill="auto" w:val="clear"/>
              </w:rPr>
            </w:pPr>
            <w:r>
              <w:rPr>
                <w:b/>
                <w:bCs/>
                <w:sz w:val="20"/>
                <w:szCs w:val="20"/>
                <w:shd w:fill="auto" w:val="clear"/>
              </w:rPr>
            </w:r>
          </w:p>
        </w:tc>
        <w:tc>
          <w:tcPr>
            <w:tcW w:w="2268"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Согласие с требованием/ указание характеристик</w:t>
            </w:r>
          </w:p>
        </w:tc>
        <w:tc>
          <w:tcPr>
            <w:tcW w:w="2693"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Предоставление подтверждающего документа или иной способ подтверждения</w:t>
            </w:r>
          </w:p>
        </w:tc>
        <w:tc>
          <w:tcPr>
            <w:tcW w:w="2710" w:type="dxa"/>
            <w:vMerge w:val="continue"/>
            <w:tcBorders/>
            <w:vAlign w:val="center"/>
          </w:tcPr>
          <w:p>
            <w:pPr>
              <w:pStyle w:val="Normal"/>
              <w:widowControl w:val="false"/>
              <w:suppressAutoHyphens w:val="true"/>
              <w:spacing w:before="0" w:after="0"/>
              <w:jc w:val="left"/>
              <w:rPr>
                <w:b/>
                <w:bCs/>
                <w:sz w:val="20"/>
                <w:szCs w:val="20"/>
                <w:highlight w:val="none"/>
                <w:shd w:fill="auto" w:val="clear"/>
              </w:rPr>
            </w:pPr>
            <w:r>
              <w:rPr>
                <w:b/>
                <w:bCs/>
                <w:sz w:val="20"/>
                <w:szCs w:val="20"/>
                <w:shd w:fill="auto" w:val="clear"/>
              </w:rPr>
            </w:r>
          </w:p>
        </w:tc>
      </w:tr>
      <w:tr>
        <w:trPr/>
        <w:tc>
          <w:tcPr>
            <w:tcW w:w="582" w:type="dxa"/>
            <w:tcBorders/>
            <w:vAlign w:val="center"/>
          </w:tcPr>
          <w:p>
            <w:pPr>
              <w:pStyle w:val="Normal"/>
              <w:widowControl w:val="false"/>
              <w:suppressAutoHyphens w:val="true"/>
              <w:spacing w:before="60" w:after="0"/>
              <w:jc w:val="center"/>
              <w:rPr>
                <w:highlight w:val="none"/>
                <w:shd w:fill="auto" w:val="clear"/>
              </w:rPr>
            </w:pPr>
            <w:r>
              <w:rPr>
                <w:rFonts w:eastAsia="Times New Roman" w:cs="Times New Roman"/>
                <w:b/>
                <w:kern w:val="0"/>
                <w:sz w:val="20"/>
                <w:szCs w:val="20"/>
                <w:shd w:fill="auto" w:val="clear"/>
                <w:lang w:val="ru-RU" w:eastAsia="ru-RU" w:bidi="ar-SA"/>
              </w:rPr>
              <w:t>1</w:t>
            </w:r>
          </w:p>
        </w:tc>
        <w:tc>
          <w:tcPr>
            <w:tcW w:w="3528"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2</w:t>
            </w:r>
          </w:p>
        </w:tc>
        <w:tc>
          <w:tcPr>
            <w:tcW w:w="3968"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3</w:t>
            </w:r>
          </w:p>
        </w:tc>
        <w:tc>
          <w:tcPr>
            <w:tcW w:w="2268"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4</w:t>
            </w:r>
          </w:p>
        </w:tc>
        <w:tc>
          <w:tcPr>
            <w:tcW w:w="2693"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5</w:t>
            </w:r>
          </w:p>
        </w:tc>
        <w:tc>
          <w:tcPr>
            <w:tcW w:w="271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6</w:t>
            </w:r>
          </w:p>
        </w:tc>
      </w:tr>
      <w:tr>
        <w:trPr>
          <w:trHeight w:val="156" w:hRule="atLeast"/>
        </w:trPr>
        <w:tc>
          <w:tcPr>
            <w:tcW w:w="582" w:type="dxa"/>
            <w:tcBorders/>
            <w:vAlign w:val="center"/>
          </w:tcPr>
          <w:p>
            <w:pPr>
              <w:pStyle w:val="ListParagraph"/>
              <w:widowControl w:val="false"/>
              <w:numPr>
                <w:ilvl w:val="0"/>
                <w:numId w:val="6"/>
              </w:numPr>
              <w:suppressAutoHyphens w:val="true"/>
              <w:spacing w:before="60" w:after="0"/>
              <w:contextualSpacing/>
              <w:jc w:val="center"/>
              <w:rPr>
                <w:sz w:val="20"/>
                <w:szCs w:val="20"/>
                <w:highlight w:val="none"/>
                <w:shd w:fill="auto" w:val="clear"/>
              </w:rPr>
            </w:pPr>
            <w:r>
              <w:rPr>
                <w:sz w:val="20"/>
                <w:szCs w:val="20"/>
                <w:shd w:fill="auto" w:val="clear"/>
              </w:rPr>
            </w:r>
          </w:p>
        </w:tc>
        <w:tc>
          <w:tcPr>
            <w:tcW w:w="15167" w:type="dxa"/>
            <w:gridSpan w:val="5"/>
            <w:tcBorders/>
            <w:vAlign w:val="center"/>
          </w:tcPr>
          <w:p>
            <w:pPr>
              <w:pStyle w:val="Normal"/>
              <w:widowControl w:val="false"/>
              <w:suppressAutoHyphens w:val="true"/>
              <w:spacing w:before="60" w:after="0"/>
              <w:jc w:val="left"/>
              <w:rPr>
                <w:highlight w:val="none"/>
                <w:shd w:fill="auto" w:val="clear"/>
              </w:rPr>
            </w:pPr>
            <w:r>
              <w:rPr>
                <w:rFonts w:eastAsia="Times New Roman" w:cs="Times New Roman"/>
                <w:b/>
                <w:kern w:val="0"/>
                <w:sz w:val="20"/>
                <w:szCs w:val="20"/>
                <w:shd w:fill="auto" w:val="clear"/>
                <w:lang w:val="ru-RU" w:eastAsia="ru-RU" w:bidi="ar-SA"/>
              </w:rPr>
              <w:t>Требования к гарантиям</w:t>
            </w:r>
          </w:p>
        </w:tc>
      </w:tr>
      <w:tr>
        <w:trPr/>
        <w:tc>
          <w:tcPr>
            <w:tcW w:w="582" w:type="dxa"/>
            <w:tcBorders/>
            <w:vAlign w:val="center"/>
          </w:tcPr>
          <w:p>
            <w:pPr>
              <w:pStyle w:val="ListParagraph"/>
              <w:widowControl w:val="false"/>
              <w:numPr>
                <w:ilvl w:val="1"/>
                <w:numId w:val="6"/>
              </w:numPr>
              <w:suppressAutoHyphens w:val="true"/>
              <w:spacing w:before="60" w:after="0"/>
              <w:ind w:left="-117" w:firstLine="142"/>
              <w:contextualSpacing/>
              <w:jc w:val="center"/>
              <w:rPr>
                <w:sz w:val="20"/>
                <w:szCs w:val="20"/>
                <w:highlight w:val="none"/>
                <w:shd w:fill="auto" w:val="clear"/>
              </w:rPr>
            </w:pPr>
            <w:r>
              <w:rPr>
                <w:sz w:val="20"/>
                <w:szCs w:val="20"/>
                <w:shd w:fill="auto" w:val="clear"/>
              </w:rPr>
            </w:r>
          </w:p>
        </w:tc>
        <w:tc>
          <w:tcPr>
            <w:tcW w:w="3528" w:type="dxa"/>
            <w:tcBorders/>
            <w:vAlign w:val="center"/>
          </w:tcPr>
          <w:p>
            <w:pPr>
              <w:pStyle w:val="Normal"/>
              <w:widowControl w:val="false"/>
              <w:suppressAutoHyphens w:val="true"/>
              <w:spacing w:before="0" w:after="0"/>
              <w:jc w:val="left"/>
              <w:rPr>
                <w:highlight w:val="none"/>
                <w:shd w:fill="auto" w:val="clear"/>
              </w:rPr>
            </w:pPr>
            <w:r>
              <w:rPr>
                <w:rFonts w:eastAsia="Times New Roman" w:cs="Times New Roman"/>
                <w:kern w:val="0"/>
                <w:sz w:val="20"/>
                <w:szCs w:val="20"/>
                <w:shd w:fill="auto" w:val="clear"/>
                <w:lang w:val="ru-RU" w:eastAsia="ru-RU" w:bidi="ar-SA"/>
              </w:rPr>
              <w:t xml:space="preserve">Срок гарантии на поставляемую </w:t>
            </w:r>
            <w:r>
              <w:rPr>
                <w:rFonts w:eastAsia="Times New Roman" w:cs="Times New Roman"/>
                <w:iCs/>
                <w:kern w:val="0"/>
                <w:sz w:val="20"/>
                <w:szCs w:val="20"/>
                <w:shd w:fill="auto" w:val="clear"/>
                <w:lang w:val="ru-RU" w:eastAsia="ru-RU" w:bidi="ar-SA"/>
              </w:rPr>
              <w:t>продукцию</w:t>
            </w:r>
          </w:p>
        </w:tc>
        <w:tc>
          <w:tcPr>
            <w:tcW w:w="3968" w:type="dxa"/>
            <w:tcBorders/>
            <w:vAlign w:val="center"/>
          </w:tcPr>
          <w:p>
            <w:pPr>
              <w:pStyle w:val="Normal"/>
              <w:widowControl w:val="false"/>
              <w:jc w:val="left"/>
              <w:rPr>
                <w:highlight w:val="none"/>
                <w:shd w:fill="auto" w:val="clear"/>
              </w:rPr>
            </w:pPr>
            <w:r>
              <w:rPr>
                <w:rFonts w:eastAsia="Times New Roman" w:cs="Times New Roman"/>
                <w:kern w:val="0"/>
                <w:sz w:val="20"/>
                <w:szCs w:val="20"/>
                <w:shd w:fill="auto" w:val="clear"/>
                <w:lang w:val="ru-RU" w:eastAsia="ru-RU" w:bidi="ar-SA"/>
              </w:rPr>
              <w:t>Гарантийный срок на поставляемую продукцию должен соответствовать сроку, установленному изготовителем, но не менее 60 месяцев</w:t>
            </w:r>
            <w:r>
              <w:rPr>
                <w:rFonts w:eastAsia="Times New Roman" w:cs="Times New Roman"/>
                <w:color w:val="000000"/>
                <w:kern w:val="0"/>
                <w:sz w:val="20"/>
                <w:szCs w:val="20"/>
                <w:shd w:fill="auto" w:val="clear"/>
                <w:lang w:val="ru-RU" w:eastAsia="ru-RU" w:bidi="ar-SA"/>
              </w:rPr>
              <w:t>. Время начала исчисления гарантийного срока с момента подписания ТОРГ-12 или УПД.</w:t>
            </w:r>
          </w:p>
        </w:tc>
        <w:tc>
          <w:tcPr>
            <w:tcW w:w="2268"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
                <w:iCs/>
                <w:color w:val="808080"/>
                <w:kern w:val="0"/>
                <w:sz w:val="20"/>
                <w:szCs w:val="20"/>
                <w:shd w:fill="auto" w:val="clear"/>
                <w:lang w:val="ru-RU" w:eastAsia="ru-RU" w:bidi="ar-SA"/>
              </w:rPr>
              <w:t>Согласие с требованием</w:t>
            </w:r>
          </w:p>
        </w:tc>
        <w:tc>
          <w:tcPr>
            <w:tcW w:w="2693" w:type="dxa"/>
            <w:tcBorders/>
            <w:vAlign w:val="center"/>
          </w:tcPr>
          <w:p>
            <w:pPr>
              <w:pStyle w:val="Normal"/>
              <w:widowControl w:val="false"/>
              <w:tabs>
                <w:tab w:val="clear" w:pos="708"/>
                <w:tab w:val="left" w:pos="426" w:leader="none"/>
              </w:tabs>
              <w:suppressAutoHyphens w:val="true"/>
              <w:spacing w:before="40" w:after="0"/>
              <w:jc w:val="center"/>
              <w:rPr>
                <w:highlight w:val="none"/>
                <w:shd w:fill="auto" w:val="clear"/>
              </w:rPr>
            </w:pPr>
            <w:r>
              <w:rPr>
                <w:rFonts w:eastAsia="Times New Roman" w:cs="Times New Roman"/>
                <w:b/>
                <w:kern w:val="0"/>
                <w:sz w:val="20"/>
                <w:szCs w:val="20"/>
                <w:shd w:fill="auto" w:val="clear"/>
                <w:lang w:val="ru-RU" w:eastAsia="ru-RU" w:bidi="ar-SA"/>
              </w:rPr>
              <w:t>-//-</w:t>
            </w:r>
          </w:p>
        </w:tc>
        <w:tc>
          <w:tcPr>
            <w:tcW w:w="2710" w:type="dxa"/>
            <w:tcBorders/>
          </w:tcPr>
          <w:p>
            <w:pPr>
              <w:pStyle w:val="Style30"/>
              <w:keepNext w:val="false"/>
              <w:widowControl w:val="false"/>
              <w:numPr>
                <w:ilvl w:val="0"/>
                <w:numId w:val="0"/>
              </w:numPr>
              <w:suppressAutoHyphens w:val="true"/>
              <w:spacing w:before="0" w:after="0"/>
              <w:ind w:left="0" w:hanging="0"/>
              <w:jc w:val="left"/>
              <w:outlineLvl w:val="2"/>
              <w:rPr>
                <w:rFonts w:ascii="Times New Roman" w:hAnsi="Times New Roman" w:eastAsia="Times New Roman" w:cs="Times New Roman"/>
                <w:b w:val="false"/>
                <w:kern w:val="0"/>
                <w:sz w:val="20"/>
                <w:szCs w:val="20"/>
                <w:highlight w:val="none"/>
                <w:shd w:fill="auto" w:val="clear"/>
                <w:lang w:val="ru-RU" w:eastAsia="ru-RU" w:bidi="ar-SA"/>
              </w:rPr>
            </w:pPr>
            <w:r>
              <w:rPr>
                <w:rFonts w:eastAsia="Times New Roman" w:cs="Times New Roman"/>
                <w:b w:val="false"/>
                <w:kern w:val="0"/>
                <w:sz w:val="20"/>
                <w:szCs w:val="20"/>
                <w:shd w:fill="auto" w:val="clear"/>
                <w:lang w:val="ru-RU" w:eastAsia="ru-RU" w:bidi="ar-SA"/>
              </w:rPr>
            </w:r>
          </w:p>
        </w:tc>
      </w:tr>
      <w:tr>
        <w:trPr/>
        <w:tc>
          <w:tcPr>
            <w:tcW w:w="582" w:type="dxa"/>
            <w:tcBorders/>
            <w:vAlign w:val="center"/>
          </w:tcPr>
          <w:p>
            <w:pPr>
              <w:pStyle w:val="Normal"/>
              <w:widowControl w:val="false"/>
              <w:suppressAutoHyphens w:val="true"/>
              <w:spacing w:before="60" w:after="0"/>
              <w:jc w:val="left"/>
              <w:rPr>
                <w:highlight w:val="none"/>
                <w:shd w:fill="auto" w:val="clear"/>
              </w:rPr>
            </w:pPr>
            <w:r>
              <w:rPr>
                <w:rFonts w:eastAsia="Times New Roman" w:cs="Times New Roman"/>
                <w:b/>
                <w:kern w:val="0"/>
                <w:sz w:val="20"/>
                <w:szCs w:val="20"/>
                <w:shd w:fill="auto" w:val="clear"/>
                <w:lang w:val="ru-RU" w:eastAsia="ru-RU" w:bidi="ar-SA"/>
              </w:rPr>
              <w:t>2.</w:t>
            </w:r>
          </w:p>
        </w:tc>
        <w:tc>
          <w:tcPr>
            <w:tcW w:w="15167" w:type="dxa"/>
            <w:gridSpan w:val="5"/>
            <w:tcBorders/>
            <w:vAlign w:val="center"/>
          </w:tcPr>
          <w:p>
            <w:pPr>
              <w:pStyle w:val="Normal"/>
              <w:widowControl w:val="false"/>
              <w:suppressAutoHyphens w:val="true"/>
              <w:spacing w:before="0" w:after="0"/>
              <w:jc w:val="left"/>
              <w:rPr>
                <w:highlight w:val="none"/>
                <w:shd w:fill="auto" w:val="clear"/>
              </w:rPr>
            </w:pPr>
            <w:r>
              <w:rPr>
                <w:rFonts w:eastAsia="Times New Roman" w:cs="Times New Roman"/>
                <w:b/>
                <w:kern w:val="0"/>
                <w:sz w:val="20"/>
                <w:szCs w:val="20"/>
                <w:shd w:fill="auto" w:val="clear"/>
                <w:lang w:val="ru-RU" w:eastAsia="ru-RU" w:bidi="ar-SA"/>
              </w:rPr>
              <w:t>Требование к доставке</w:t>
            </w:r>
          </w:p>
        </w:tc>
      </w:tr>
      <w:tr>
        <w:trPr>
          <w:trHeight w:val="646" w:hRule="atLeast"/>
        </w:trPr>
        <w:tc>
          <w:tcPr>
            <w:tcW w:w="582" w:type="dxa"/>
            <w:tcBorders/>
            <w:vAlign w:val="center"/>
          </w:tcPr>
          <w:p>
            <w:pPr>
              <w:pStyle w:val="Normal"/>
              <w:widowControl w:val="false"/>
              <w:suppressAutoHyphens w:val="true"/>
              <w:spacing w:before="60" w:after="0"/>
              <w:ind w:right="-109" w:hanging="0"/>
              <w:jc w:val="left"/>
              <w:rPr>
                <w:sz w:val="20"/>
                <w:szCs w:val="20"/>
                <w:highlight w:val="none"/>
                <w:shd w:fill="auto" w:val="clear"/>
              </w:rPr>
            </w:pPr>
            <w:r>
              <w:rPr>
                <w:sz w:val="20"/>
                <w:szCs w:val="20"/>
                <w:shd w:fill="auto" w:val="clear"/>
              </w:rPr>
            </w:r>
          </w:p>
        </w:tc>
        <w:tc>
          <w:tcPr>
            <w:tcW w:w="3528" w:type="dxa"/>
            <w:tcBorders/>
          </w:tcPr>
          <w:p>
            <w:pPr>
              <w:pStyle w:val="Normal"/>
              <w:widowControl w:val="false"/>
              <w:suppressAutoHyphens w:val="true"/>
              <w:spacing w:before="0" w:after="0"/>
              <w:ind w:right="145" w:hanging="0"/>
              <w:jc w:val="left"/>
              <w:rPr>
                <w:highlight w:val="none"/>
                <w:shd w:fill="auto" w:val="clear"/>
              </w:rPr>
            </w:pPr>
            <w:r>
              <w:rPr>
                <w:rFonts w:eastAsia="Times New Roman" w:cs="Times New Roman"/>
                <w:kern w:val="0"/>
                <w:sz w:val="20"/>
                <w:szCs w:val="20"/>
                <w:shd w:fill="auto" w:val="clear"/>
                <w:lang w:val="ru-RU" w:eastAsia="ru-RU" w:bidi="ar-SA"/>
              </w:rPr>
              <w:t>Место поставки для</w:t>
            </w:r>
          </w:p>
          <w:p>
            <w:pPr>
              <w:pStyle w:val="Normal"/>
              <w:widowControl w:val="false"/>
              <w:suppressAutoHyphens w:val="true"/>
              <w:spacing w:before="0" w:after="0"/>
              <w:ind w:right="145" w:hanging="0"/>
              <w:jc w:val="left"/>
              <w:rPr>
                <w:highlight w:val="none"/>
                <w:shd w:fill="auto" w:val="clear"/>
              </w:rPr>
            </w:pPr>
            <w:r>
              <w:rPr>
                <w:rFonts w:eastAsia="Times New Roman" w:cs="Times New Roman"/>
                <w:b/>
                <w:bCs/>
                <w:color w:val="000000"/>
                <w:kern w:val="0"/>
                <w:sz w:val="20"/>
                <w:szCs w:val="20"/>
                <w:shd w:fill="auto" w:val="clear"/>
                <w:lang w:val="ru-RU" w:eastAsia="ru-RU" w:bidi="ar-SA"/>
              </w:rPr>
              <w:t>Филиала АО «ДРСК» «</w:t>
            </w:r>
            <w:r>
              <w:rPr>
                <w:rFonts w:eastAsia="Times New Roman" w:cs="Times New Roman"/>
                <w:b/>
                <w:bCs/>
                <w:color w:val="000000"/>
                <w:kern w:val="0"/>
                <w:sz w:val="20"/>
                <w:szCs w:val="20"/>
                <w:shd w:fill="auto" w:val="clear"/>
                <w:lang w:val="ru-RU" w:eastAsia="ru-RU" w:bidi="ar-SA"/>
              </w:rPr>
              <w:t>Хабаровские</w:t>
            </w:r>
            <w:r>
              <w:rPr>
                <w:rFonts w:eastAsia="Times New Roman" w:cs="Times New Roman"/>
                <w:b/>
                <w:bCs/>
                <w:color w:val="000000"/>
                <w:kern w:val="0"/>
                <w:sz w:val="20"/>
                <w:szCs w:val="20"/>
                <w:shd w:fill="auto" w:val="clear"/>
                <w:lang w:val="ru-RU" w:eastAsia="ru-RU" w:bidi="ar-SA"/>
              </w:rPr>
              <w:t xml:space="preserve"> электрические сети»</w:t>
            </w:r>
          </w:p>
        </w:tc>
        <w:tc>
          <w:tcPr>
            <w:tcW w:w="3968" w:type="dxa"/>
            <w:tcBorders/>
            <w:vAlign w:val="center"/>
          </w:tcPr>
          <w:p>
            <w:pPr>
              <w:pStyle w:val="Normal"/>
              <w:widowControl w:val="false"/>
              <w:suppressAutoHyphens w:val="true"/>
              <w:spacing w:before="0" w:after="0"/>
              <w:jc w:val="left"/>
              <w:rPr>
                <w:bCs/>
                <w:iCs/>
                <w:color w:val="000000"/>
                <w:sz w:val="20"/>
                <w:szCs w:val="20"/>
                <w:highlight w:val="none"/>
                <w:shd w:fill="auto" w:val="clear"/>
              </w:rPr>
            </w:pPr>
            <w:r>
              <w:rPr>
                <w:bCs/>
                <w:iCs/>
                <w:color w:val="000000"/>
                <w:sz w:val="20"/>
                <w:szCs w:val="20"/>
                <w:shd w:fill="auto" w:val="clear"/>
              </w:rPr>
              <w:t>680009, Хабаровский край, Хабаровск г, Промышленная ул, дом № 13</w:t>
            </w:r>
          </w:p>
        </w:tc>
        <w:tc>
          <w:tcPr>
            <w:tcW w:w="2268" w:type="dxa"/>
            <w:tcBorders/>
          </w:tcPr>
          <w:p>
            <w:pPr>
              <w:pStyle w:val="Normal"/>
              <w:widowControl w:val="false"/>
              <w:suppressAutoHyphens w:val="true"/>
              <w:spacing w:before="0" w:after="0"/>
              <w:jc w:val="center"/>
              <w:rPr>
                <w:highlight w:val="none"/>
                <w:shd w:fill="auto" w:val="clear"/>
              </w:rPr>
            </w:pPr>
            <w:r>
              <w:rPr>
                <w:rFonts w:eastAsia="Times New Roman" w:cs="Times New Roman"/>
                <w:i/>
                <w:iCs/>
                <w:kern w:val="0"/>
                <w:sz w:val="20"/>
                <w:szCs w:val="20"/>
                <w:shd w:fill="auto" w:val="clear"/>
                <w:lang w:val="ru-RU" w:eastAsia="ru-RU" w:bidi="ar-SA"/>
              </w:rPr>
              <w:t>Указать способ доставки</w:t>
            </w:r>
          </w:p>
        </w:tc>
        <w:tc>
          <w:tcPr>
            <w:tcW w:w="2693" w:type="dxa"/>
            <w:tcBorders/>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w:t>
            </w:r>
          </w:p>
        </w:tc>
        <w:tc>
          <w:tcPr>
            <w:tcW w:w="2710" w:type="dxa"/>
            <w:tcBorders/>
            <w:vAlign w:val="center"/>
          </w:tcPr>
          <w:p>
            <w:pPr>
              <w:pStyle w:val="Normal"/>
              <w:widowControl w:val="false"/>
              <w:suppressAutoHyphens w:val="true"/>
              <w:spacing w:before="0" w:after="0"/>
              <w:jc w:val="center"/>
              <w:rPr>
                <w:sz w:val="20"/>
                <w:szCs w:val="20"/>
                <w:highlight w:val="none"/>
                <w:shd w:fill="auto" w:val="clear"/>
              </w:rPr>
            </w:pPr>
            <w:r>
              <w:rPr>
                <w:sz w:val="20"/>
                <w:szCs w:val="20"/>
                <w:shd w:fill="auto" w:val="clear"/>
              </w:rPr>
            </w:r>
          </w:p>
        </w:tc>
      </w:tr>
      <w:tr>
        <w:trPr/>
        <w:tc>
          <w:tcPr>
            <w:tcW w:w="582" w:type="dxa"/>
            <w:tcBorders/>
            <w:vAlign w:val="center"/>
          </w:tcPr>
          <w:p>
            <w:pPr>
              <w:pStyle w:val="ListParagraph"/>
              <w:widowControl w:val="false"/>
              <w:numPr>
                <w:ilvl w:val="0"/>
                <w:numId w:val="9"/>
              </w:numPr>
              <w:suppressAutoHyphens w:val="true"/>
              <w:spacing w:before="60" w:after="0"/>
              <w:ind w:left="360" w:right="-109" w:hanging="360"/>
              <w:contextualSpacing/>
              <w:jc w:val="left"/>
              <w:rPr>
                <w:sz w:val="20"/>
                <w:szCs w:val="20"/>
                <w:highlight w:val="none"/>
                <w:shd w:fill="auto" w:val="clear"/>
              </w:rPr>
            </w:pPr>
            <w:r>
              <w:rPr>
                <w:sz w:val="20"/>
                <w:szCs w:val="20"/>
                <w:shd w:fill="auto" w:val="clear"/>
              </w:rPr>
            </w:r>
          </w:p>
        </w:tc>
        <w:tc>
          <w:tcPr>
            <w:tcW w:w="15167" w:type="dxa"/>
            <w:gridSpan w:val="5"/>
            <w:tcBorders/>
          </w:tcPr>
          <w:p>
            <w:pPr>
              <w:pStyle w:val="Normal"/>
              <w:widowControl w:val="false"/>
              <w:suppressAutoHyphens w:val="true"/>
              <w:spacing w:before="0" w:after="0"/>
              <w:jc w:val="left"/>
              <w:rPr>
                <w:highlight w:val="none"/>
                <w:shd w:fill="auto" w:val="clear"/>
              </w:rPr>
            </w:pPr>
            <w:r>
              <w:rPr>
                <w:rFonts w:eastAsia="Times New Roman" w:cs="Times New Roman"/>
                <w:b/>
                <w:kern w:val="0"/>
                <w:sz w:val="20"/>
                <w:szCs w:val="20"/>
                <w:shd w:fill="auto" w:val="clear"/>
                <w:lang w:val="ru-RU" w:eastAsia="ru-RU" w:bidi="ar-SA"/>
              </w:rPr>
              <w:t>Требования к новизне поставляемой продукции</w:t>
            </w:r>
          </w:p>
        </w:tc>
      </w:tr>
      <w:tr>
        <w:trPr/>
        <w:tc>
          <w:tcPr>
            <w:tcW w:w="582" w:type="dxa"/>
            <w:tcBorders/>
            <w:vAlign w:val="center"/>
          </w:tcPr>
          <w:p>
            <w:pPr>
              <w:pStyle w:val="Normal"/>
              <w:widowControl w:val="false"/>
              <w:suppressAutoHyphens w:val="true"/>
              <w:spacing w:before="60" w:after="0"/>
              <w:ind w:right="-109" w:hanging="0"/>
              <w:jc w:val="left"/>
              <w:rPr>
                <w:highlight w:val="none"/>
                <w:shd w:fill="auto" w:val="clear"/>
              </w:rPr>
            </w:pPr>
            <w:r>
              <w:rPr>
                <w:rFonts w:eastAsia="Times New Roman" w:cs="Times New Roman"/>
                <w:kern w:val="0"/>
                <w:sz w:val="20"/>
                <w:szCs w:val="20"/>
                <w:shd w:fill="auto" w:val="clear"/>
                <w:lang w:val="ru-RU" w:eastAsia="ru-RU" w:bidi="ar-SA"/>
              </w:rPr>
              <w:t>3.1.</w:t>
            </w:r>
          </w:p>
        </w:tc>
        <w:tc>
          <w:tcPr>
            <w:tcW w:w="3528" w:type="dxa"/>
            <w:tcBorders/>
          </w:tcPr>
          <w:p>
            <w:pPr>
              <w:pStyle w:val="Normal"/>
              <w:widowControl w:val="false"/>
              <w:suppressAutoHyphens w:val="true"/>
              <w:spacing w:before="0" w:after="0"/>
              <w:ind w:right="145" w:hanging="0"/>
              <w:jc w:val="left"/>
              <w:rPr>
                <w:highlight w:val="none"/>
                <w:shd w:fill="auto" w:val="clear"/>
              </w:rPr>
            </w:pPr>
            <w:r>
              <w:rPr>
                <w:rFonts w:eastAsia="Times New Roman" w:cs="Times New Roman"/>
                <w:kern w:val="0"/>
                <w:sz w:val="20"/>
                <w:szCs w:val="20"/>
                <w:shd w:fill="auto" w:val="clear"/>
                <w:lang w:val="ru-RU" w:eastAsia="ru-RU" w:bidi="ar-SA"/>
              </w:rPr>
              <w:t>Требования к году выпуска</w:t>
            </w:r>
          </w:p>
        </w:tc>
        <w:tc>
          <w:tcPr>
            <w:tcW w:w="3968" w:type="dxa"/>
            <w:tcBorders/>
            <w:vAlign w:val="center"/>
          </w:tcPr>
          <w:p>
            <w:pPr>
              <w:pStyle w:val="Normal"/>
              <w:widowControl w:val="false"/>
              <w:suppressAutoHyphens w:val="true"/>
              <w:spacing w:before="0" w:after="0"/>
              <w:jc w:val="left"/>
              <w:rPr>
                <w:highlight w:val="none"/>
                <w:shd w:fill="auto" w:val="clear"/>
              </w:rPr>
            </w:pPr>
            <w:r>
              <w:rPr>
                <w:rFonts w:eastAsia="Calibri" w:cs="Times New Roman" w:ascii="Liberation Serif" w:hAnsi="Liberation Serif"/>
                <w:kern w:val="0"/>
                <w:sz w:val="22"/>
                <w:szCs w:val="22"/>
                <w:shd w:fill="auto" w:val="clear"/>
                <w:lang w:val="ru-RU" w:eastAsia="en-US" w:bidi="ar-SA"/>
              </w:rPr>
              <w:t>Продукция должна быть новой и ранее неиспользованной,</w:t>
            </w:r>
            <w:r>
              <w:rPr>
                <w:rFonts w:eastAsia="Times New Roman" w:cs="Times New Roman" w:ascii="Liberation Serif" w:hAnsi="Liberation Serif"/>
                <w:kern w:val="0"/>
                <w:sz w:val="22"/>
                <w:szCs w:val="22"/>
                <w:shd w:fill="auto" w:val="clear"/>
                <w:lang w:val="ru-RU" w:eastAsia="ru-RU" w:bidi="ar-SA"/>
              </w:rPr>
              <w:t xml:space="preserve"> изготовлена в 2025-2026 г.</w:t>
            </w:r>
            <w:r>
              <w:rPr>
                <w:rFonts w:eastAsia="Times New Roman" w:cs="Times New Roman"/>
                <w:kern w:val="0"/>
                <w:sz w:val="20"/>
                <w:szCs w:val="20"/>
                <w:shd w:fill="auto" w:val="clear"/>
                <w:lang w:val="ru-RU" w:eastAsia="ru-RU" w:bidi="ar-SA"/>
              </w:rPr>
              <w:t xml:space="preserve"> </w:t>
            </w:r>
            <w:r>
              <w:rPr>
                <w:rFonts w:eastAsia="Calibri" w:cs="Times New Roman" w:ascii="Liberation Serif" w:hAnsi="Liberation Serif"/>
                <w:iCs/>
                <w:color w:val="000000"/>
                <w:spacing w:val="-1"/>
                <w:kern w:val="0"/>
                <w:sz w:val="22"/>
                <w:szCs w:val="22"/>
                <w:shd w:fill="auto" w:val="clear"/>
                <w:lang w:val="ru-RU" w:eastAsia="en-US" w:bidi="ar-SA"/>
              </w:rPr>
              <w:t>Оборудование должно быть новым, ранее не используемым. (не бывшем в эксплуатации, в ремонте, у которого не были восстановлены утраченные потребительские свойства), в оригинальной заводской упаковке предприятия-изготовителя, соответствующей международным стандартам упаковки высокотехнологичного оборудования, с хорошо различимой маркировкой, нанесенной производителем.</w:t>
            </w:r>
          </w:p>
        </w:tc>
        <w:tc>
          <w:tcPr>
            <w:tcW w:w="2268"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
                <w:iCs/>
                <w:kern w:val="0"/>
                <w:sz w:val="20"/>
                <w:szCs w:val="20"/>
                <w:shd w:fill="auto" w:val="clear"/>
                <w:lang w:val="ru-RU" w:eastAsia="ru-RU" w:bidi="ar-SA"/>
              </w:rPr>
              <w:t>Согласие с требованием</w:t>
            </w:r>
          </w:p>
        </w:tc>
        <w:tc>
          <w:tcPr>
            <w:tcW w:w="2693"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w:t>
            </w:r>
          </w:p>
        </w:tc>
        <w:tc>
          <w:tcPr>
            <w:tcW w:w="2710" w:type="dxa"/>
            <w:tcBorders/>
            <w:vAlign w:val="center"/>
          </w:tcPr>
          <w:p>
            <w:pPr>
              <w:pStyle w:val="Normal"/>
              <w:widowControl w:val="false"/>
              <w:suppressAutoHyphens w:val="true"/>
              <w:spacing w:before="0" w:after="0"/>
              <w:jc w:val="left"/>
              <w:rPr>
                <w:sz w:val="20"/>
                <w:szCs w:val="20"/>
                <w:highlight w:val="none"/>
                <w:shd w:fill="auto" w:val="clear"/>
              </w:rPr>
            </w:pPr>
            <w:r>
              <w:rPr>
                <w:sz w:val="20"/>
                <w:szCs w:val="20"/>
                <w:shd w:fill="auto" w:val="clear"/>
              </w:rPr>
            </w:r>
          </w:p>
        </w:tc>
      </w:tr>
      <w:tr>
        <w:trPr/>
        <w:tc>
          <w:tcPr>
            <w:tcW w:w="582" w:type="dxa"/>
            <w:tcBorders>
              <w:top w:val="nil"/>
            </w:tcBorders>
            <w:vAlign w:val="center"/>
          </w:tcPr>
          <w:p>
            <w:pPr>
              <w:pStyle w:val="ListParagraph"/>
              <w:widowControl w:val="false"/>
              <w:numPr>
                <w:ilvl w:val="0"/>
                <w:numId w:val="9"/>
              </w:numPr>
              <w:suppressAutoHyphens w:val="true"/>
              <w:spacing w:before="60" w:after="0"/>
              <w:ind w:left="360" w:right="-109" w:hanging="360"/>
              <w:contextualSpacing/>
              <w:jc w:val="left"/>
              <w:rPr>
                <w:sz w:val="20"/>
                <w:szCs w:val="20"/>
                <w:highlight w:val="none"/>
                <w:shd w:fill="auto" w:val="clear"/>
              </w:rPr>
            </w:pPr>
            <w:r>
              <w:rPr>
                <w:sz w:val="20"/>
                <w:szCs w:val="20"/>
                <w:shd w:fill="auto" w:val="clear"/>
              </w:rPr>
            </w:r>
          </w:p>
        </w:tc>
        <w:tc>
          <w:tcPr>
            <w:tcW w:w="15167" w:type="dxa"/>
            <w:gridSpan w:val="5"/>
            <w:tcBorders>
              <w:top w:val="nil"/>
            </w:tcBorders>
          </w:tcPr>
          <w:p>
            <w:pPr>
              <w:pStyle w:val="Normal"/>
              <w:widowControl w:val="false"/>
              <w:jc w:val="left"/>
              <w:rPr>
                <w:highlight w:val="none"/>
                <w:shd w:fill="auto" w:val="clear"/>
              </w:rPr>
            </w:pPr>
            <w:r>
              <w:rPr>
                <w:rFonts w:eastAsia="Times New Roman" w:cs="Liberation Serif" w:ascii="Liberation Serif" w:hAnsi="Liberation Serif"/>
                <w:b/>
                <w:bCs/>
                <w:kern w:val="0"/>
                <w:sz w:val="22"/>
                <w:szCs w:val="26"/>
                <w:shd w:fill="auto" w:val="clear"/>
                <w:lang w:val="ru-RU" w:eastAsia="ru-RU" w:bidi="ar-SA"/>
              </w:rPr>
              <w:t>Прочие (дополнительные) требования к продукции</w:t>
            </w:r>
          </w:p>
        </w:tc>
      </w:tr>
      <w:tr>
        <w:trPr/>
        <w:tc>
          <w:tcPr>
            <w:tcW w:w="582" w:type="dxa"/>
            <w:tcBorders>
              <w:top w:val="nil"/>
            </w:tcBorders>
            <w:vAlign w:val="center"/>
          </w:tcPr>
          <w:p>
            <w:pPr>
              <w:pStyle w:val="Normal"/>
              <w:widowControl w:val="false"/>
              <w:suppressAutoHyphens w:val="true"/>
              <w:spacing w:before="60" w:after="0"/>
              <w:ind w:right="-109" w:hanging="0"/>
              <w:jc w:val="left"/>
              <w:rPr>
                <w:highlight w:val="none"/>
                <w:shd w:fill="auto" w:val="clear"/>
              </w:rPr>
            </w:pPr>
            <w:r>
              <w:rPr>
                <w:sz w:val="20"/>
                <w:szCs w:val="20"/>
                <w:shd w:fill="auto" w:val="clear"/>
              </w:rPr>
              <w:t>4.1</w:t>
            </w:r>
          </w:p>
        </w:tc>
        <w:tc>
          <w:tcPr>
            <w:tcW w:w="7496" w:type="dxa"/>
            <w:gridSpan w:val="2"/>
            <w:tcBorders>
              <w:top w:val="nil"/>
            </w:tcBorders>
            <w:vAlign w:val="center"/>
          </w:tcPr>
          <w:p>
            <w:pPr>
              <w:pStyle w:val="ListParagraphTable-NormalRSHBTable-Normal342"/>
              <w:widowControl w:val="false"/>
              <w:ind w:left="0" w:right="135" w:hanging="0"/>
              <w:jc w:val="both"/>
              <w:rPr>
                <w:rFonts w:eastAsia="Times New Roman" w:cs="Liberation Serif"/>
                <w:sz w:val="22"/>
                <w:szCs w:val="26"/>
                <w:highlight w:val="none"/>
                <w:shd w:fill="auto" w:val="clear"/>
                <w:lang w:eastAsia="zh-CN"/>
              </w:rPr>
            </w:pPr>
            <w:r>
              <w:rPr>
                <w:rFonts w:eastAsia="Times New Roman" w:cs="Liberation Serif"/>
                <w:sz w:val="22"/>
                <w:szCs w:val="26"/>
                <w:shd w:fill="auto" w:val="clear"/>
                <w:lang w:eastAsia="zh-CN"/>
              </w:rPr>
            </w:r>
          </w:p>
          <w:p>
            <w:pPr>
              <w:pStyle w:val="ListParagraphTable-NormalRSHBTable-Normal342"/>
              <w:widowControl w:val="false"/>
              <w:ind w:left="0" w:right="135" w:hanging="0"/>
              <w:jc w:val="both"/>
              <w:rPr>
                <w:highlight w:val="none"/>
                <w:shd w:fill="auto" w:val="clear"/>
              </w:rPr>
            </w:pPr>
            <w:r>
              <w:rPr>
                <w:rFonts w:cs="Liberation Serif"/>
                <w:b/>
                <w:bCs/>
                <w:color w:val="00000A"/>
                <w:sz w:val="22"/>
                <w:szCs w:val="26"/>
                <w:shd w:fill="auto" w:val="clear"/>
              </w:rPr>
              <w:t xml:space="preserve">Требования к происхождению поставляемой продукции: </w:t>
            </w:r>
            <w:r>
              <w:rPr>
                <w:rFonts w:eastAsia="Times New Roman" w:cs="Liberation Serif"/>
                <w:sz w:val="22"/>
                <w:szCs w:val="26"/>
                <w:shd w:fill="auto" w:val="clear"/>
                <w:lang w:eastAsia="zh-CN"/>
              </w:rPr>
              <w:t xml:space="preserve">в соответствии с Постановлением Правительства РФ от 23.12.2024 |№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w:t>
            </w:r>
            <w:r>
              <w:rPr>
                <w:rFonts w:eastAsia="Times New Roman" w:cs="Liberation Serif"/>
                <w:b/>
                <w:bCs/>
                <w:sz w:val="22"/>
                <w:szCs w:val="26"/>
                <w:shd w:fill="auto" w:val="clear"/>
                <w:lang w:eastAsia="zh-CN"/>
              </w:rPr>
              <w:t xml:space="preserve">согласно приложению N </w:t>
            </w:r>
            <w:r>
              <w:rPr>
                <w:rFonts w:eastAsia="Times New Roman" w:cs="Liberation Serif"/>
                <w:b/>
                <w:bCs/>
                <w:sz w:val="22"/>
                <w:szCs w:val="26"/>
                <w:shd w:fill="auto" w:val="clear"/>
              </w:rPr>
              <w:t>1</w:t>
            </w:r>
          </w:p>
          <w:p>
            <w:pPr>
              <w:pStyle w:val="Normal"/>
              <w:widowControl w:val="false"/>
              <w:jc w:val="both"/>
              <w:rPr>
                <w:rFonts w:cs="Liberation Serif"/>
                <w:sz w:val="22"/>
                <w:szCs w:val="26"/>
                <w:highlight w:val="none"/>
                <w:shd w:fill="auto" w:val="clear"/>
                <w:lang w:eastAsia="zh-CN"/>
              </w:rPr>
            </w:pPr>
            <w:r>
              <w:rPr>
                <w:rFonts w:cs="Liberation Serif"/>
                <w:sz w:val="22"/>
                <w:szCs w:val="26"/>
                <w:shd w:fill="auto" w:val="clear"/>
                <w:lang w:eastAsia="zh-CN"/>
              </w:rPr>
            </w:r>
          </w:p>
          <w:p>
            <w:pPr>
              <w:pStyle w:val="Normal"/>
              <w:widowControl w:val="false"/>
              <w:jc w:val="both"/>
              <w:rPr>
                <w:highlight w:val="none"/>
                <w:shd w:fill="auto" w:val="clear"/>
              </w:rPr>
            </w:pPr>
            <w:r>
              <w:rPr>
                <w:rFonts w:eastAsia="Times New Roman" w:cs="Liberation Serif"/>
                <w:b w:val="false"/>
                <w:bCs w:val="false"/>
                <w:color w:val="00000A"/>
                <w:kern w:val="0"/>
                <w:sz w:val="22"/>
                <w:szCs w:val="26"/>
                <w:shd w:fill="auto" w:val="clear"/>
                <w:lang w:val="ru-RU" w:eastAsia="zh-CN" w:bidi="ar-SA"/>
              </w:rPr>
              <w:t>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заявка, содержащая предложение о поставке товара российского происхождения</w:t>
            </w:r>
          </w:p>
        </w:tc>
        <w:tc>
          <w:tcPr>
            <w:tcW w:w="2268" w:type="dxa"/>
            <w:tcBorders>
              <w:top w:val="nil"/>
            </w:tcBorders>
            <w:vAlign w:val="center"/>
          </w:tcPr>
          <w:p>
            <w:pPr>
              <w:pStyle w:val="Normal"/>
              <w:widowControl w:val="false"/>
              <w:spacing w:before="0" w:after="0"/>
              <w:jc w:val="center"/>
              <w:rPr>
                <w:sz w:val="22"/>
                <w:szCs w:val="22"/>
                <w:highlight w:val="none"/>
                <w:shd w:fill="auto" w:val="clear"/>
              </w:rPr>
            </w:pPr>
            <w:r>
              <w:rPr>
                <w:sz w:val="22"/>
                <w:szCs w:val="22"/>
                <w:shd w:fill="auto" w:val="clear"/>
              </w:rPr>
            </w:r>
          </w:p>
          <w:p>
            <w:pPr>
              <w:pStyle w:val="Normal"/>
              <w:widowControl w:val="false"/>
              <w:spacing w:before="0" w:after="0"/>
              <w:jc w:val="center"/>
              <w:rPr>
                <w:highlight w:val="none"/>
                <w:shd w:fill="auto" w:val="clear"/>
              </w:rPr>
            </w:pPr>
            <w:r>
              <w:rPr>
                <w:rFonts w:eastAsia="Times New Roman" w:cs="Times New Roman"/>
                <w:kern w:val="0"/>
                <w:sz w:val="22"/>
                <w:szCs w:val="22"/>
                <w:shd w:fill="auto" w:val="clear"/>
                <w:lang w:val="ru-RU" w:eastAsia="ru-RU" w:bidi="ar-SA"/>
              </w:rPr>
              <w:t>Согласие с требованием</w:t>
            </w:r>
          </w:p>
        </w:tc>
        <w:tc>
          <w:tcPr>
            <w:tcW w:w="2693" w:type="dxa"/>
            <w:tcBorders>
              <w:top w:val="nil"/>
            </w:tcBorders>
            <w:vAlign w:val="center"/>
          </w:tcPr>
          <w:p>
            <w:pPr>
              <w:pStyle w:val="Normal"/>
              <w:widowControl w:val="false"/>
              <w:jc w:val="left"/>
              <w:rPr>
                <w:rFonts w:eastAsia="Calibri"/>
                <w:sz w:val="22"/>
                <w:szCs w:val="26"/>
                <w:highlight w:val="none"/>
                <w:shd w:fill="auto" w:val="clear"/>
                <w:lang w:eastAsia="en-US"/>
              </w:rPr>
            </w:pPr>
            <w:r>
              <w:rPr>
                <w:rFonts w:eastAsia="Calibri"/>
                <w:sz w:val="22"/>
                <w:szCs w:val="26"/>
                <w:shd w:fill="auto" w:val="clear"/>
                <w:lang w:eastAsia="en-US"/>
              </w:rPr>
            </w:r>
          </w:p>
          <w:p>
            <w:pPr>
              <w:pStyle w:val="Normal"/>
              <w:widowControl w:val="false"/>
              <w:jc w:val="left"/>
              <w:rPr>
                <w:highlight w:val="none"/>
                <w:shd w:fill="auto" w:val="clear"/>
              </w:rPr>
            </w:pPr>
            <w:r>
              <w:rPr>
                <w:rFonts w:eastAsia="Calibri"/>
                <w:b w:val="false"/>
                <w:bCs w:val="false"/>
                <w:i w:val="false"/>
                <w:iCs w:val="false"/>
                <w:sz w:val="22"/>
                <w:szCs w:val="26"/>
                <w:shd w:fill="auto" w:val="clear"/>
                <w:lang w:eastAsia="en-US"/>
              </w:rPr>
              <w:t>Участник должен предоставить в составе заявки Коммерческое предложение по форме, установленной документацией о закупке, с указанием в отношении поставляемой продукции информации о номер реестровой записи из реестра российской промышленной продукции,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pPr>
              <w:pStyle w:val="Normal"/>
              <w:widowControl w:val="false"/>
              <w:jc w:val="left"/>
              <w:rPr>
                <w:highlight w:val="none"/>
                <w:shd w:fill="auto" w:val="clear"/>
              </w:rPr>
            </w:pPr>
            <w:r>
              <w:rPr>
                <w:rFonts w:eastAsia="Calibri"/>
                <w:b w:val="false"/>
                <w:bCs w:val="false"/>
                <w:i w:val="false"/>
                <w:iCs w:val="false"/>
                <w:sz w:val="22"/>
                <w:szCs w:val="26"/>
                <w:shd w:fill="auto" w:val="clear"/>
                <w:lang w:eastAsia="en-US"/>
              </w:rPr>
              <w:t>или</w:t>
            </w:r>
          </w:p>
          <w:p>
            <w:pPr>
              <w:pStyle w:val="Normal"/>
              <w:widowControl w:val="false"/>
              <w:jc w:val="left"/>
              <w:rPr>
                <w:highlight w:val="none"/>
                <w:shd w:fill="auto" w:val="clear"/>
              </w:rPr>
            </w:pPr>
            <w:r>
              <w:rPr>
                <w:rFonts w:eastAsia="Calibri"/>
                <w:b w:val="false"/>
                <w:bCs w:val="false"/>
                <w:i w:val="false"/>
                <w:iCs w:val="false"/>
                <w:sz w:val="22"/>
                <w:szCs w:val="26"/>
                <w:shd w:fill="auto" w:val="clear"/>
                <w:lang w:eastAsia="en-US"/>
              </w:rPr>
              <w:t>номер реестровой записи из евразийского реестра промышленных товаров государств - членов Евразийского экономического союза, содержащей в том числе:</w:t>
            </w:r>
          </w:p>
          <w:p>
            <w:pPr>
              <w:pStyle w:val="Normal"/>
              <w:widowControl w:val="false"/>
              <w:jc w:val="left"/>
              <w:rPr>
                <w:highlight w:val="none"/>
                <w:shd w:fill="auto" w:val="clear"/>
              </w:rPr>
            </w:pPr>
            <w:r>
              <w:rPr>
                <w:rFonts w:eastAsia="Calibri" w:cs="Times New Roman"/>
                <w:b w:val="false"/>
                <w:bCs w:val="false"/>
                <w:i w:val="false"/>
                <w:iCs w:val="false"/>
                <w:kern w:val="0"/>
                <w:sz w:val="22"/>
                <w:szCs w:val="26"/>
                <w:shd w:fill="auto" w:val="clear"/>
                <w:lang w:val="ru-RU" w:eastAsia="en-US" w:bidi="ar-SA"/>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tc>
        <w:tc>
          <w:tcPr>
            <w:tcW w:w="2710" w:type="dxa"/>
            <w:tcBorders>
              <w:top w:val="nil"/>
            </w:tcBorders>
            <w:vAlign w:val="center"/>
          </w:tcPr>
          <w:p>
            <w:pPr>
              <w:pStyle w:val="Normal"/>
              <w:widowControl w:val="false"/>
              <w:suppressAutoHyphens w:val="true"/>
              <w:spacing w:before="0" w:after="0"/>
              <w:jc w:val="left"/>
              <w:rPr>
                <w:sz w:val="20"/>
                <w:szCs w:val="20"/>
                <w:highlight w:val="none"/>
                <w:shd w:fill="auto" w:val="clear"/>
              </w:rPr>
            </w:pPr>
            <w:r>
              <w:rPr>
                <w:sz w:val="20"/>
                <w:szCs w:val="20"/>
                <w:shd w:fill="auto" w:val="clear"/>
              </w:rPr>
            </w:r>
          </w:p>
        </w:tc>
      </w:tr>
      <w:tr>
        <w:trPr/>
        <w:tc>
          <w:tcPr>
            <w:tcW w:w="582" w:type="dxa"/>
            <w:tcBorders>
              <w:top w:val="nil"/>
            </w:tcBorders>
            <w:vAlign w:val="center"/>
          </w:tcPr>
          <w:p>
            <w:pPr>
              <w:pStyle w:val="Normal"/>
              <w:widowControl w:val="false"/>
              <w:suppressAutoHyphens w:val="true"/>
              <w:spacing w:before="60" w:after="0"/>
              <w:ind w:right="-109" w:hanging="0"/>
              <w:jc w:val="left"/>
              <w:rPr>
                <w:sz w:val="20"/>
                <w:szCs w:val="20"/>
                <w:highlight w:val="none"/>
                <w:shd w:fill="auto" w:val="clear"/>
              </w:rPr>
            </w:pPr>
            <w:r>
              <w:rPr>
                <w:sz w:val="20"/>
                <w:szCs w:val="20"/>
                <w:shd w:fill="auto" w:val="clear"/>
              </w:rPr>
            </w:r>
          </w:p>
        </w:tc>
        <w:tc>
          <w:tcPr>
            <w:tcW w:w="7496" w:type="dxa"/>
            <w:gridSpan w:val="2"/>
            <w:tcBorders>
              <w:top w:val="nil"/>
            </w:tcBorders>
            <w:vAlign w:val="center"/>
          </w:tcPr>
          <w:p>
            <w:pPr>
              <w:pStyle w:val="ListParagraph"/>
              <w:widowControl w:val="false"/>
              <w:ind w:left="0" w:hanging="0"/>
              <w:jc w:val="center"/>
              <w:rPr>
                <w:highlight w:val="none"/>
                <w:shd w:fill="auto" w:val="clear"/>
              </w:rPr>
            </w:pPr>
            <w:r>
              <w:rPr>
                <w:rFonts w:ascii="Liberation Serif" w:hAnsi="Liberation Serif"/>
                <w:sz w:val="22"/>
                <w:szCs w:val="22"/>
                <w:shd w:fill="auto" w:val="clear"/>
              </w:rPr>
              <w:t>Выписка из реестра российского программного обеспечения, расположенную на сайте https://reestr.digital.gov.ru/reestr/ на основании приказа о включении сведений о программном обеспечении</w:t>
            </w:r>
          </w:p>
        </w:tc>
        <w:tc>
          <w:tcPr>
            <w:tcW w:w="2268" w:type="dxa"/>
            <w:tcBorders>
              <w:top w:val="nil"/>
            </w:tcBorders>
            <w:vAlign w:val="center"/>
          </w:tcPr>
          <w:p>
            <w:pPr>
              <w:pStyle w:val="Normal"/>
              <w:widowControl w:val="false"/>
              <w:spacing w:before="0" w:after="0"/>
              <w:jc w:val="center"/>
              <w:rPr>
                <w:sz w:val="22"/>
                <w:szCs w:val="22"/>
                <w:highlight w:val="none"/>
                <w:shd w:fill="auto" w:val="clear"/>
              </w:rPr>
            </w:pPr>
            <w:r>
              <w:rPr>
                <w:sz w:val="22"/>
                <w:szCs w:val="22"/>
                <w:shd w:fill="auto" w:val="clear"/>
              </w:rPr>
            </w:r>
          </w:p>
          <w:p>
            <w:pPr>
              <w:pStyle w:val="Normal"/>
              <w:widowControl w:val="false"/>
              <w:spacing w:before="0" w:after="0"/>
              <w:jc w:val="center"/>
              <w:rPr>
                <w:highlight w:val="none"/>
                <w:shd w:fill="auto" w:val="clear"/>
              </w:rPr>
            </w:pPr>
            <w:r>
              <w:rPr>
                <w:rFonts w:eastAsia="Times New Roman" w:cs="Times New Roman"/>
                <w:kern w:val="0"/>
                <w:sz w:val="22"/>
                <w:szCs w:val="22"/>
                <w:shd w:fill="auto" w:val="clear"/>
                <w:lang w:val="ru-RU" w:eastAsia="ru-RU" w:bidi="ar-SA"/>
              </w:rPr>
              <w:t>Согласие с требованием</w:t>
            </w:r>
          </w:p>
        </w:tc>
        <w:tc>
          <w:tcPr>
            <w:tcW w:w="2693" w:type="dxa"/>
            <w:tcBorders>
              <w:top w:val="nil"/>
            </w:tcBorders>
            <w:vAlign w:val="center"/>
          </w:tcPr>
          <w:p>
            <w:pPr>
              <w:pStyle w:val="ListParagraphTable-NormalRSHBTable-Normal342"/>
              <w:widowControl w:val="false"/>
              <w:ind w:left="0" w:hanging="0"/>
              <w:jc w:val="center"/>
              <w:rPr>
                <w:highlight w:val="none"/>
                <w:shd w:fill="auto" w:val="clear"/>
              </w:rPr>
            </w:pPr>
            <w:r>
              <w:rPr>
                <w:rFonts w:eastAsia="Times New Roman" w:ascii="Liberation Serif" w:hAnsi="Liberation Serif"/>
                <w:iCs/>
                <w:sz w:val="22"/>
                <w:szCs w:val="22"/>
                <w:shd w:fill="auto" w:val="clear"/>
              </w:rPr>
              <w:t>Предоставить в составе заявки выписку из реестра российского программного обеспечения</w:t>
            </w:r>
          </w:p>
        </w:tc>
        <w:tc>
          <w:tcPr>
            <w:tcW w:w="2710" w:type="dxa"/>
            <w:tcBorders>
              <w:top w:val="nil"/>
            </w:tcBorders>
            <w:vAlign w:val="center"/>
          </w:tcPr>
          <w:p>
            <w:pPr>
              <w:pStyle w:val="Normal"/>
              <w:widowControl w:val="false"/>
              <w:suppressAutoHyphens w:val="true"/>
              <w:spacing w:before="0" w:after="0"/>
              <w:jc w:val="left"/>
              <w:rPr>
                <w:sz w:val="20"/>
                <w:szCs w:val="20"/>
                <w:highlight w:val="none"/>
                <w:shd w:fill="auto" w:val="clear"/>
              </w:rPr>
            </w:pPr>
            <w:r>
              <w:rPr>
                <w:sz w:val="20"/>
                <w:szCs w:val="20"/>
                <w:shd w:fill="auto" w:val="clear"/>
              </w:rPr>
            </w:r>
          </w:p>
        </w:tc>
      </w:tr>
    </w:tbl>
    <w:p>
      <w:pPr>
        <w:sectPr>
          <w:headerReference w:type="default" r:id="rId6"/>
          <w:headerReference w:type="first" r:id="rId7"/>
          <w:type w:val="nextPage"/>
          <w:pgSz w:orient="landscape" w:w="16838" w:h="11906"/>
          <w:pgMar w:left="567" w:right="567" w:gutter="0" w:header="680" w:top="737" w:footer="0" w:bottom="567"/>
          <w:pgNumType w:fmt="decimal"/>
          <w:formProt w:val="false"/>
          <w:titlePg/>
          <w:textDirection w:val="lrTb"/>
          <w:docGrid w:type="default" w:linePitch="381" w:charSpace="0"/>
        </w:sectPr>
      </w:pPr>
    </w:p>
    <w:p>
      <w:pPr>
        <w:pStyle w:val="Heading1"/>
        <w:keepLines/>
        <w:numPr>
          <w:ilvl w:val="0"/>
          <w:numId w:val="3"/>
        </w:numPr>
        <w:tabs>
          <w:tab w:val="clear" w:pos="708"/>
          <w:tab w:val="left" w:pos="1134" w:leader="none"/>
        </w:tabs>
        <w:spacing w:before="0" w:after="0"/>
        <w:ind w:left="0" w:firstLine="567"/>
        <w:rPr>
          <w:highlight w:val="none"/>
          <w:shd w:fill="auto" w:val="clear"/>
        </w:rPr>
      </w:pPr>
      <w:bookmarkStart w:id="23" w:name="_Toc46743519"/>
      <w:bookmarkStart w:id="24" w:name="_Toc51339699"/>
      <w:bookmarkStart w:id="25" w:name="_Toc75446583"/>
      <w:bookmarkStart w:id="26" w:name="_Toc53393312"/>
      <w:r>
        <w:rPr>
          <w:sz w:val="20"/>
          <w:szCs w:val="20"/>
          <w:shd w:fill="auto" w:val="clear"/>
          <w:lang w:val="ru-RU"/>
        </w:rPr>
        <w:t>Требования к документации по ценообразованию</w:t>
      </w:r>
      <w:bookmarkEnd w:id="26"/>
      <w:r>
        <w:rPr>
          <w:sz w:val="20"/>
          <w:szCs w:val="20"/>
          <w:shd w:fill="auto" w:val="clear"/>
          <w:lang w:val="ru-RU"/>
        </w:rPr>
        <w:t xml:space="preserve"> на этапе закупки</w:t>
      </w:r>
      <w:bookmarkEnd w:id="25"/>
    </w:p>
    <w:p>
      <w:pPr>
        <w:pStyle w:val="Normal"/>
        <w:tabs>
          <w:tab w:val="clear" w:pos="708"/>
          <w:tab w:val="left" w:pos="1134" w:leader="none"/>
        </w:tabs>
        <w:suppressAutoHyphens w:val="true"/>
        <w:ind w:right="593" w:firstLine="567"/>
        <w:jc w:val="both"/>
        <w:rPr>
          <w:highlight w:val="none"/>
          <w:shd w:fill="auto" w:val="clear"/>
        </w:rPr>
      </w:pPr>
      <w:r>
        <w:rPr>
          <w:bCs/>
          <w:iCs/>
          <w:sz w:val="20"/>
          <w:szCs w:val="20"/>
          <w:shd w:fill="auto" w:val="clear"/>
          <w:lang w:eastAsia="x-none"/>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Normal"/>
        <w:suppressAutoHyphens w:val="true"/>
        <w:ind w:right="593" w:firstLine="567"/>
        <w:jc w:val="both"/>
        <w:rPr>
          <w:highlight w:val="none"/>
          <w:shd w:fill="B2B2B2" w:val="clear"/>
        </w:rPr>
      </w:pPr>
      <w:r>
        <w:rPr>
          <w:bCs/>
          <w:iCs/>
          <w:sz w:val="20"/>
          <w:szCs w:val="20"/>
          <w:shd w:fill="auto" w:val="clear"/>
          <w:lang w:eastAsia="x-none"/>
        </w:rPr>
        <w:t>3.2.</w:t>
      </w:r>
      <w:r>
        <w:rPr>
          <w:sz w:val="20"/>
          <w:szCs w:val="20"/>
          <w:shd w:fill="auto" w:val="clear"/>
        </w:rPr>
        <w:t xml:space="preserve"> Все цены в предложении должны включать все налоги, транспортные расходы и другие обязательные платежи, стоимость всех сопутствующих работ (услуг), а также все скидки, предлагаемые участником.</w:t>
      </w:r>
      <w:bookmarkEnd w:id="23"/>
      <w:bookmarkEnd w:id="24"/>
    </w:p>
    <w:p>
      <w:pPr>
        <w:pStyle w:val="Normal"/>
        <w:widowControl w:val="false"/>
        <w:tabs>
          <w:tab w:val="clear" w:pos="708"/>
          <w:tab w:val="left" w:pos="426" w:leader="none"/>
        </w:tabs>
        <w:spacing w:before="60" w:after="0"/>
        <w:jc w:val="both"/>
        <w:rPr>
          <w:b/>
          <w:sz w:val="20"/>
          <w:szCs w:val="20"/>
          <w:highlight w:val="none"/>
          <w:shd w:fill="auto" w:val="clear"/>
          <w:lang w:val="x-none" w:eastAsia="x-none"/>
        </w:rPr>
      </w:pPr>
      <w:r>
        <w:rPr>
          <w:b/>
          <w:sz w:val="20"/>
          <w:szCs w:val="20"/>
          <w:shd w:fill="auto" w:val="clear"/>
          <w:lang w:val="x-none" w:eastAsia="x-none"/>
        </w:rPr>
      </w:r>
    </w:p>
    <w:p>
      <w:pPr>
        <w:pStyle w:val="Normal"/>
        <w:widowControl w:val="false"/>
        <w:tabs>
          <w:tab w:val="clear" w:pos="708"/>
          <w:tab w:val="left" w:pos="426" w:leader="none"/>
        </w:tabs>
        <w:spacing w:before="60" w:after="0"/>
        <w:jc w:val="both"/>
        <w:rPr>
          <w:highlight w:val="none"/>
          <w:shd w:fill="B2B2B2" w:val="clear"/>
        </w:rPr>
      </w:pPr>
      <w:r>
        <w:rPr>
          <w:b/>
          <w:sz w:val="20"/>
          <w:szCs w:val="20"/>
          <w:shd w:fill="B2B2B2" w:val="clear"/>
          <w:lang w:val="x-none" w:eastAsia="x-none"/>
        </w:rPr>
        <w:tab/>
      </w:r>
      <w:r>
        <w:rPr>
          <w:b/>
          <w:sz w:val="20"/>
          <w:szCs w:val="20"/>
          <w:shd w:fill="auto" w:val="clear"/>
          <w:lang w:val="x-none" w:eastAsia="x-none"/>
        </w:rPr>
        <w:tab/>
        <w:t>4.  Приложения</w:t>
      </w:r>
    </w:p>
    <w:p>
      <w:pPr>
        <w:pStyle w:val="ListParagraph"/>
        <w:spacing w:lineRule="auto" w:line="276" w:before="0" w:after="200"/>
        <w:ind w:left="709" w:hanging="0"/>
        <w:contextualSpacing/>
        <w:jc w:val="both"/>
        <w:rPr>
          <w:highlight w:val="none"/>
          <w:shd w:fill="auto" w:val="clear"/>
        </w:rPr>
      </w:pPr>
      <w:r>
        <w:rPr>
          <w:rFonts w:ascii="Liberation Serif" w:hAnsi="Liberation Serif"/>
          <w:shd w:fill="auto" w:val="clear"/>
        </w:rPr>
        <w:t xml:space="preserve">Приложение 1. </w:t>
      </w:r>
      <w:r>
        <w:rPr>
          <w:rFonts w:ascii="Liberation Serif" w:hAnsi="Liberation Serif"/>
          <w:shd w:fill="auto" w:val="clear"/>
        </w:rPr>
        <w:t>ОЛ ВПУ-10 Нартис-И500-К1Б1-А5SR1-10 кВ-10(100)А</w:t>
      </w:r>
    </w:p>
    <w:p>
      <w:pPr>
        <w:pStyle w:val="ListParagraph"/>
        <w:spacing w:lineRule="auto" w:line="276" w:before="0" w:after="200"/>
        <w:ind w:left="709" w:hanging="0"/>
        <w:contextualSpacing/>
        <w:jc w:val="both"/>
        <w:rPr>
          <w:highlight w:val="none"/>
          <w:shd w:fill="auto" w:val="clear"/>
        </w:rPr>
      </w:pPr>
      <w:r>
        <w:rPr>
          <w:rFonts w:ascii="Liberation Serif" w:hAnsi="Liberation Serif"/>
          <w:shd w:fill="auto" w:val="clear"/>
        </w:rPr>
        <w:t xml:space="preserve">Приложение 2. </w:t>
      </w:r>
      <w:bookmarkStart w:id="27" w:name="_Ref40301253"/>
      <w:bookmarkEnd w:id="27"/>
      <w:r>
        <w:rPr>
          <w:rFonts w:ascii="Liberation Serif" w:hAnsi="Liberation Serif"/>
          <w:shd w:fill="auto" w:val="clear"/>
        </w:rPr>
        <w:t>ОЛ ВПУ-6 Нартис-И500-К1Б1-А5SR1-6 кВ-10(100)А</w:t>
      </w:r>
    </w:p>
    <w:p>
      <w:pPr>
        <w:pStyle w:val="ListParagraph"/>
        <w:spacing w:lineRule="auto" w:line="276" w:before="0" w:after="200"/>
        <w:ind w:left="709" w:hanging="0"/>
        <w:contextualSpacing/>
        <w:jc w:val="both"/>
        <w:rPr>
          <w:highlight w:val="none"/>
          <w:shd w:fill="auto" w:val="clear"/>
        </w:rPr>
      </w:pPr>
      <w:r>
        <w:rPr>
          <w:rFonts w:ascii="Liberation Serif" w:hAnsi="Liberation Serif"/>
          <w:shd w:fill="auto" w:val="clear"/>
        </w:rPr>
        <w:t xml:space="preserve">Приложение 3. ОЛ </w:t>
      </w:r>
      <w:r>
        <w:rPr>
          <w:rFonts w:ascii="Liberation Serif" w:hAnsi="Liberation Serif"/>
          <w:color w:val="000000"/>
          <w:sz w:val="24"/>
          <w:szCs w:val="24"/>
          <w:shd w:fill="auto" w:val="clear"/>
        </w:rPr>
        <w:t>Счетчик активной/реактивной энергии ТЕ2000.01.12.00</w:t>
      </w:r>
    </w:p>
    <w:sectPr>
      <w:headerReference w:type="default" r:id="rId8"/>
      <w:headerReference w:type="first" r:id="rId9"/>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9</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2"/>
        <w:sz w:val="22"/>
        <w:spacing w:val="0"/>
        <w:i w:val="false"/>
        <w:u w:val="none"/>
        <w:b/>
        <w:kern w:val="0"/>
        <w:effect w:val="none"/>
        <w:szCs w:val="22"/>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2"/>
        <w:b/>
        <w:szCs w:val="22"/>
        <w:bCs w:val="false"/>
      </w:rPr>
    </w:lvl>
    <w:lvl w:ilvl="1">
      <w:start w:val="1"/>
      <w:numFmt w:val="decimal"/>
      <w:lvlText w:val="%1.%2."/>
      <w:lvlJc w:val="left"/>
      <w:pPr>
        <w:tabs>
          <w:tab w:val="num" w:pos="0"/>
        </w:tabs>
        <w:ind w:left="858" w:hanging="432"/>
      </w:pPr>
      <w:rPr>
        <w:sz w:val="22"/>
        <w:b w:val="false"/>
        <w:szCs w:val="22"/>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3"/>
      <w:numFmt w:val="decimal"/>
      <w:lvlText w:val="%1."/>
      <w:lvlJc w:val="left"/>
      <w:pPr>
        <w:tabs>
          <w:tab w:val="num" w:pos="0"/>
        </w:tabs>
        <w:ind w:left="360" w:hanging="360"/>
      </w:pPr>
      <w:rPr>
        <w:sz w:val="22"/>
        <w:b/>
        <w:szCs w:val="22"/>
        <w:bCs w:val="false"/>
      </w:rPr>
    </w:lvl>
    <w:lvl w:ilvl="1">
      <w:start w:val="1"/>
      <w:numFmt w:val="decimal"/>
      <w:lvlText w:val="%1.%2."/>
      <w:lvlJc w:val="left"/>
      <w:pPr>
        <w:tabs>
          <w:tab w:val="num" w:pos="0"/>
        </w:tabs>
        <w:ind w:left="858" w:hanging="432"/>
      </w:pPr>
      <w:rPr>
        <w:sz w:val="22"/>
        <w:b w:val="false"/>
        <w:szCs w:val="22"/>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2"/>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numPr>
        <w:ilvl w:val="2"/>
        <w:numId w:val="3"/>
      </w:numPr>
      <w:spacing w:before="120" w:after="60"/>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4"/>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2"/>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10"/>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Markedcontent" w:customStyle="1">
    <w:name w:val="markedcontent"/>
    <w:basedOn w:val="DefaultParagraphFont"/>
    <w:qFormat/>
    <w:rsid w:val="00a33766"/>
    <w:rPr/>
  </w:style>
  <w:style w:type="character" w:styleId="Style14" w:customStyle="1">
    <w:name w:val="Основной текст с отступом Знак"/>
    <w:basedOn w:val="DefaultParagraphFont"/>
    <w:qFormat/>
    <w:rsid w:val="00730aab"/>
    <w:rPr>
      <w:sz w:val="24"/>
      <w:szCs w:val="24"/>
    </w:rPr>
  </w:style>
  <w:style w:type="character" w:styleId="EndnoteReference1">
    <w:name w:val="Endnote Reference1"/>
    <w:qFormat/>
    <w:rPr>
      <w:vertAlign w:val="superscript"/>
    </w:rPr>
  </w:style>
  <w:style w:type="character" w:styleId="FootnoteReference1">
    <w:name w:val="Footnote Reference1"/>
    <w:qFormat/>
    <w:rPr>
      <w:vertAlign w:val="superscript"/>
    </w:rPr>
  </w:style>
  <w:style w:type="character" w:styleId="EndnoteReference2">
    <w:name w:val="Endnote Reference2"/>
    <w:qFormat/>
    <w:rPr>
      <w:vertAlign w:val="superscript"/>
    </w:rPr>
  </w:style>
  <w:style w:type="character" w:styleId="FootnoteReference2">
    <w:name w:val="Footnote Reference2"/>
    <w:qFormat/>
    <w:rPr>
      <w:vertAlign w:val="superscript"/>
    </w:rPr>
  </w:style>
  <w:style w:type="character" w:styleId="Apple-converted-space">
    <w:name w:val="apple-converted-space"/>
    <w:qFormat/>
    <w:rPr/>
  </w:style>
  <w:style w:type="character" w:styleId="Style15">
    <w:name w:val="Тема примечания Знак"/>
    <w:basedOn w:val="Style11"/>
    <w:qFormat/>
    <w:rPr>
      <w:b/>
      <w:bCs/>
    </w:rPr>
  </w:style>
  <w:style w:type="character" w:styleId="Style16">
    <w:name w:val="Текст выноски Знак"/>
    <w:basedOn w:val="DefaultParagraphFont"/>
    <w:qFormat/>
    <w:rPr>
      <w:rFonts w:ascii="Tahoma" w:hAnsi="Tahoma" w:cs="Tahoma"/>
      <w:sz w:val="16"/>
      <w:szCs w:val="16"/>
    </w:rPr>
  </w:style>
  <w:style w:type="character" w:styleId="14">
    <w:name w:val="Пункт Знак1"/>
    <w:qFormat/>
    <w:rPr>
      <w:rFonts w:ascii="Arial" w:hAnsi="Arial" w:cs="Arial"/>
      <w:b/>
      <w:i/>
      <w:sz w:val="28"/>
    </w:rPr>
  </w:style>
  <w:style w:type="character" w:styleId="Endnotereference11">
    <w:name w:val="endnote reference11"/>
    <w:basedOn w:val="DefaultParagraphFont"/>
    <w:qFormat/>
    <w:rPr>
      <w:vertAlign w:val="superscript"/>
    </w:rPr>
  </w:style>
  <w:style w:type="character" w:styleId="Footnotereference11">
    <w:name w:val="footnote reference11"/>
    <w:qFormat/>
    <w:rPr>
      <w:vertAlign w:val="superscrip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b/>
      <w:i/>
      <w:sz w:val="20"/>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z w:val="24"/>
      <w:szCs w:val="24"/>
    </w:rPr>
  </w:style>
  <w:style w:type="character" w:styleId="WW8Num2z1">
    <w:name w:val="WW8Num2z1"/>
    <w:qFormat/>
    <w:rPr>
      <w:b w:val="false"/>
      <w:bCs/>
      <w:sz w:val="20"/>
      <w:szCs w:val="22"/>
    </w:rPr>
  </w:style>
  <w:style w:type="character" w:styleId="WW8Num2z0">
    <w:name w:val="WW8Num2z0"/>
    <w:qFormat/>
    <w:rPr>
      <w:b/>
      <w:bCs w:val="false"/>
      <w:sz w:val="20"/>
      <w:szCs w:val="22"/>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b w:val="false"/>
    </w:rPr>
  </w:style>
  <w:style w:type="character" w:styleId="WW8Num1z1">
    <w:name w:val="WW8Num1z1"/>
    <w:qFormat/>
    <w:rPr/>
  </w:style>
  <w:style w:type="character" w:styleId="WW8Num1z0">
    <w:name w:val="WW8Num1z0"/>
    <w:qFormat/>
    <w:rPr>
      <w:rFonts w:cs="Times New Roman"/>
      <w:b/>
      <w:bCs w:val="false"/>
      <w:i w:val="false"/>
      <w:iCs w:val="false"/>
      <w:caps w:val="false"/>
      <w:smallCaps w:val="false"/>
      <w:strike w:val="false"/>
      <w:dstrike w:val="false"/>
      <w:vanish w:val="false"/>
      <w:color w:val="000000"/>
      <w:spacing w:val="0"/>
      <w:kern w:val="2"/>
      <w:position w:val="0"/>
      <w:sz w:val="22"/>
      <w:sz w:val="22"/>
      <w:szCs w:val="22"/>
      <w:u w:val="none"/>
      <w:vertAlign w:val="baseline"/>
      <w:em w:val="none"/>
    </w:rPr>
  </w:style>
  <w:style w:type="character" w:styleId="Style17">
    <w:name w:val="Символ нумерации"/>
    <w:qFormat/>
    <w:rPr/>
  </w:style>
  <w:style w:type="paragraph" w:styleId="Style18">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customStyle="1">
    <w:name w:val="Название раздела инструкции"/>
    <w:basedOn w:val="Normal"/>
    <w:autoRedefine/>
    <w:qFormat/>
    <w:rsid w:val="00275328"/>
    <w:pPr>
      <w:jc w:val="center"/>
    </w:pPr>
    <w:rPr>
      <w:b/>
    </w:rPr>
  </w:style>
  <w:style w:type="paragraph" w:styleId="Style21"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2"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3">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link w:val="Style14"/>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4"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uppressAutoHyphens w:val="true"/>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5" w:customStyle="1">
    <w:name w:val="Раздел регламента"/>
    <w:basedOn w:val="Normal"/>
    <w:qFormat/>
    <w:rsid w:val="00e228fa"/>
    <w:pPr/>
    <w:rPr/>
  </w:style>
  <w:style w:type="paragraph" w:styleId="Style26"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7"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8"/>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8"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ListBullet41" w:customStyle="1">
    <w:name w:val="List Bullet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9"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30"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31" w:customStyle="1">
    <w:name w:val="Таблица шапка"/>
    <w:basedOn w:val="Normal"/>
    <w:qFormat/>
    <w:rsid w:val="00f64089"/>
    <w:pPr>
      <w:keepNext w:val="true"/>
      <w:spacing w:before="40" w:after="40"/>
      <w:ind w:left="57" w:right="57" w:hanging="0"/>
    </w:pPr>
    <w:rPr>
      <w:sz w:val="22"/>
      <w:szCs w:val="26"/>
    </w:rPr>
  </w:style>
  <w:style w:type="paragraph" w:styleId="Style32" w:customStyle="1">
    <w:name w:val="Подподпункт"/>
    <w:basedOn w:val="Style24"/>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3"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4"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numPr>
        <w:ilvl w:val="0"/>
        <w:numId w:val="0"/>
      </w:numPr>
      <w:tabs>
        <w:tab w:val="clear" w:pos="708"/>
        <w:tab w:val="left" w:pos="567" w:leader="none"/>
      </w:tabs>
      <w:suppressAutoHyphens w:val="true"/>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uppressAutoHyphens w:val="true"/>
      <w:spacing w:before="120" w:after="120"/>
      <w:jc w:val="both"/>
      <w:outlineLvl w:val="0"/>
    </w:pPr>
    <w:rPr>
      <w:b/>
      <w:kern w:val="2"/>
      <w:sz w:val="24"/>
      <w:szCs w:val="20"/>
      <w:lang w:eastAsia="x-none"/>
    </w:rPr>
  </w:style>
  <w:style w:type="paragraph" w:styleId="Style35"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6">
    <w:name w:val="Содержимое врезки"/>
    <w:basedOn w:val="Normal"/>
    <w:qFormat/>
    <w:pPr/>
    <w:rPr/>
  </w:style>
  <w:style w:type="paragraph" w:styleId="Style37">
    <w:name w:val="Содержимое таблицы"/>
    <w:basedOn w:val="Normal"/>
    <w:qFormat/>
    <w:pPr>
      <w:widowControl w:val="false"/>
      <w:suppressLineNumbers/>
    </w:pPr>
    <w:rPr/>
  </w:style>
  <w:style w:type="paragraph" w:styleId="Style38">
    <w:name w:val="Заголовок таблицы"/>
    <w:basedOn w:val="Style37"/>
    <w:qFormat/>
    <w:pPr>
      <w:suppressLineNumbers/>
      <w:jc w:val="center"/>
    </w:pPr>
    <w:rPr>
      <w:b/>
      <w:bCs/>
    </w:rPr>
  </w:style>
  <w:style w:type="paragraph" w:styleId="Formattext">
    <w:name w:val="formattext"/>
    <w:basedOn w:val="Normal"/>
    <w:qFormat/>
    <w:pPr>
      <w:spacing w:before="280" w:after="280"/>
    </w:pPr>
    <w:rPr>
      <w:sz w:val="24"/>
      <w:szCs w:val="24"/>
      <w:lang w:eastAsia="zh-CN"/>
    </w:rPr>
  </w:style>
  <w:style w:type="paragraph" w:styleId="Endnotetext1">
    <w:name w:val="endnote text1"/>
    <w:basedOn w:val="Normal"/>
    <w:qFormat/>
    <w:pPr/>
    <w:rPr>
      <w:sz w:val="20"/>
      <w:szCs w:val="20"/>
    </w:rPr>
  </w:style>
  <w:style w:type="paragraph" w:styleId="ListBullet4">
    <w:name w:val="List Bullet 4"/>
    <w:basedOn w:val="Normal"/>
    <w:qFormat/>
    <w:pPr>
      <w:spacing w:before="120" w:after="0"/>
      <w:jc w:val="both"/>
    </w:pPr>
    <w:rPr>
      <w:rFonts w:ascii="Garamond" w:hAnsi="Garamond" w:cs="Garamond"/>
      <w:sz w:val="24"/>
      <w:szCs w:val="20"/>
    </w:rPr>
  </w:style>
  <w:style w:type="paragraph" w:styleId="TOCHeading1">
    <w:name w:val="TOC Heading1"/>
    <w:basedOn w:val="Heading1"/>
    <w:qFormat/>
    <w:pPr>
      <w:keepLines/>
      <w:numPr>
        <w:ilvl w:val="0"/>
        <w:numId w:val="0"/>
      </w:numPr>
      <w:spacing w:before="480" w:after="0"/>
      <w:ind w:left="0" w:right="0" w:hanging="0"/>
      <w:outlineLvl w:val="9"/>
    </w:pPr>
    <w:rPr>
      <w:rFonts w:ascii="Cambria" w:hAnsi="Cambria" w:cs="Cambria"/>
      <w:bCs/>
      <w:color w:val="365F91"/>
    </w:rPr>
  </w:style>
  <w:style w:type="paragraph" w:styleId="Caption11">
    <w:name w:val="caption11"/>
    <w:basedOn w:val="Normal"/>
    <w:qFormat/>
    <w:pPr/>
    <w:rPr>
      <w:rFonts w:eastAsia="Calibri"/>
      <w:b/>
      <w:bCs/>
      <w:color w:val="4F81BD"/>
      <w:sz w:val="18"/>
      <w:szCs w:val="18"/>
    </w:rPr>
  </w:style>
  <w:style w:type="paragraph" w:styleId="Footnotetext1">
    <w:name w:val="footnote text1"/>
    <w:basedOn w:val="Normal"/>
    <w:qFormat/>
    <w:pPr/>
    <w:rPr>
      <w:sz w:val="20"/>
      <w:szCs w:val="20"/>
    </w:rPr>
  </w:style>
  <w:style w:type="paragraph" w:styleId="Caption12">
    <w:name w:val="Caption12"/>
    <w:basedOn w:val="Normal"/>
    <w:qFormat/>
    <w:pPr>
      <w:suppressLineNumbers/>
      <w:spacing w:before="120" w:after="120"/>
    </w:pPr>
    <w:rPr>
      <w:rFonts w:cs="Lohit Devanagari"/>
      <w:i/>
      <w:iCs/>
      <w:sz w:val="24"/>
      <w:szCs w:val="24"/>
    </w:rPr>
  </w:style>
  <w:style w:type="paragraph" w:styleId="Caption2">
    <w:name w:val="Caption2"/>
    <w:basedOn w:val="Normal"/>
    <w:qFormat/>
    <w:pPr>
      <w:suppressLineNumbers/>
      <w:spacing w:before="120" w:after="120"/>
    </w:pPr>
    <w:rPr>
      <w:rFonts w:cs="Lohit Devanagari"/>
      <w:i/>
      <w:iCs/>
      <w:sz w:val="24"/>
      <w:szCs w:val="24"/>
    </w:rPr>
  </w:style>
  <w:style w:type="paragraph" w:styleId="ListParagraphTable-NormalRSHBTable-Normal342">
    <w:name w:val="List Paragraph;Table-Normal;RSHB_Table-Normal;Заголовок_3;Подпись рисунка;Алроса_маркер (Уровень 4);Маркер;ПАРАГРАФ;Абзац списка2"/>
    <w:basedOn w:val="Normal"/>
    <w:qFormat/>
    <w:pPr>
      <w:overflowPunct w:val="true"/>
      <w:spacing w:before="0" w:after="0"/>
      <w:ind w:left="720" w:hanging="0"/>
      <w:contextualSpacing/>
    </w:pPr>
    <w:rPr>
      <w:rFonts w:eastAsia="Calibri"/>
      <w:sz w:val="24"/>
      <w:szCs w:val="24"/>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numbering" w:styleId="WW8Num1">
    <w:name w:val="WW8Num1"/>
    <w:qFormat/>
  </w:style>
  <w:style w:type="numbering" w:styleId="WW8Num2">
    <w:name w:val="WW8Num2"/>
    <w:qFormat/>
  </w:style>
  <w:style w:type="numbering" w:styleId="WW8Num3">
    <w:name w:val="WW8Num3"/>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0">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31A0-638D-494C-8DD5-EAA67FA3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7152</TotalTime>
  <Application>AlterOffice/2025.3.1.0$Linux_X86_64 LibreOffice_project/431cd1b79110582f53535c95ed0a2449aadc8bf9</Application>
  <AppVersion>15.0000</AppVersion>
  <Pages>8</Pages>
  <Words>1044</Words>
  <Characters>7523</Characters>
  <CharactersWithSpaces>8397</CharactersWithSpaces>
  <Paragraphs>176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2023-06-04T22:23:00Z</dcterms:created>
  <dc:creator>Быстров Олег Геннадьевич</dc:creator>
  <dc:description/>
  <dc:language>ru-RU</dc:language>
  <cp:lastModifiedBy>redkina_ov</cp:lastModifiedBy>
  <cp:lastPrinted>2006-07-26T14:04:00Z</cp:lastPrinted>
  <dcterms:modified xsi:type="dcterms:W3CDTF">2026-05-08T10:04:22Z</dcterms:modified>
  <cp:revision>587</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