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val="false"/>
        <w:tabs>
          <w:tab w:val="clear" w:pos="709"/>
          <w:tab w:val="left" w:pos="6926" w:leader="none"/>
        </w:tabs>
        <w:suppressAutoHyphens w:val="true"/>
        <w:bidi w:val="0"/>
        <w:spacing w:before="0" w:after="0"/>
        <w:ind w:hanging="0"/>
        <w:jc w:val="right"/>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Филиала ПАО «РусГидро» - «Загорская ГАЭС» Жизневского Виктора Викторовича</w:t>
      </w:r>
      <w:r>
        <w:rPr>
          <w:spacing w:val="4"/>
          <w:sz w:val="24"/>
          <w:szCs w:val="24"/>
        </w:rPr>
        <w:t xml:space="preserve">, действующего на основании доверенности 895d91be-ee10-4ce0-946a-079ab992baca от 21.01.2025,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color w:val="000000"/>
          <w:kern w:val="0"/>
          <w:sz w:val="24"/>
          <w:szCs w:val="24"/>
          <w:shd w:fill="auto" w:val="clear"/>
        </w:rPr>
        <w:t xml:space="preserve">по результатам проведенной Покупателем </w:t>
      </w:r>
      <w:r>
        <w:rPr>
          <w:color w:val="000000"/>
          <w:sz w:val="24"/>
          <w:szCs w:val="24"/>
          <w:shd w:fill="auto" w:val="clear"/>
        </w:rPr>
        <w:t>закупочной</w:t>
      </w:r>
      <w:r>
        <w:rPr>
          <w:color w:val="000000"/>
          <w:kern w:val="0"/>
          <w:sz w:val="24"/>
          <w:szCs w:val="24"/>
          <w:shd w:fill="auto" w:val="clear"/>
        </w:rPr>
        <w:t xml:space="preserve"> процедуры по лоту № </w:t>
      </w:r>
      <w:r>
        <w:rPr>
          <w:color w:val="000000"/>
          <w:sz w:val="24"/>
          <w:szCs w:val="24"/>
          <w:shd w:fill="auto" w:val="clear"/>
          <w:lang w:eastAsia="en-US"/>
        </w:rPr>
        <w:t xml:space="preserve">____________ и на основании протокола __________ от «___» _________ г. №_______, </w:t>
      </w:r>
      <w:r>
        <w:rPr>
          <w:color w:val="000000"/>
          <w:sz w:val="24"/>
          <w:szCs w:val="24"/>
          <w:shd w:fill="auto" w:val="clear"/>
        </w:rPr>
        <w:t>заключили настоящий договор поставки (да</w:t>
      </w:r>
      <w:r>
        <w:rPr>
          <w:sz w:val="24"/>
          <w:szCs w:val="24"/>
        </w:rPr>
        <w:t>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widowControl w:val="false"/>
        <w:suppressAutoHyphens w:val="true"/>
        <w:bidi w:val="0"/>
        <w:spacing w:before="0" w:after="0"/>
        <w:ind w:firstLine="709"/>
        <w:jc w:val="both"/>
        <w:rPr>
          <w:b/>
          <w:sz w:val="24"/>
          <w:szCs w:val="24"/>
          <w:lang w:eastAsia="en-US"/>
        </w:rPr>
      </w:pPr>
      <w:r>
        <w:rPr>
          <w:b/>
          <w:sz w:val="24"/>
          <w:szCs w:val="24"/>
          <w:lang w:eastAsia="en-US"/>
        </w:rPr>
      </w:r>
    </w:p>
    <w:p>
      <w:pPr>
        <w:pStyle w:val="Normal"/>
        <w:widowControl w:val="false"/>
        <w:numPr>
          <w:ilvl w:val="0"/>
          <w:numId w:val="12"/>
        </w:numPr>
        <w:tabs>
          <w:tab w:val="clear" w:pos="709"/>
          <w:tab w:val="left" w:pos="567" w:leader="none"/>
          <w:tab w:val="left" w:pos="1134" w:leader="none"/>
        </w:tabs>
        <w:suppressAutoHyphens w:val="true"/>
        <w:bidi w:val="0"/>
        <w:spacing w:before="0" w:after="0"/>
        <w:ind w:left="0" w:firstLine="709"/>
        <w:jc w:val="both"/>
        <w:rPr>
          <w:b/>
          <w:lang w:eastAsia="en-US"/>
        </w:rPr>
      </w:pPr>
      <w:r>
        <w:rPr>
          <w:b/>
          <w:lang w:eastAsia="en-US"/>
        </w:rPr>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 w:val="false"/>
          <w:bCs/>
          <w:sz w:val="24"/>
          <w:szCs w:val="24"/>
          <w:shd w:fill="auto" w:val="clear"/>
        </w:rPr>
        <w:t>хозяйственны</w:t>
      </w:r>
      <w:r>
        <w:rPr>
          <w:b w:val="false"/>
          <w:bCs/>
          <w:sz w:val="24"/>
          <w:szCs w:val="24"/>
          <w:shd w:fill="auto" w:val="clear"/>
        </w:rPr>
        <w:t>е</w:t>
      </w:r>
      <w:r>
        <w:rPr>
          <w:b w:val="false"/>
          <w:bCs/>
          <w:sz w:val="24"/>
          <w:szCs w:val="24"/>
          <w:shd w:fill="auto" w:val="clear"/>
        </w:rPr>
        <w:t xml:space="preserve"> материал</w:t>
      </w:r>
      <w:r>
        <w:rPr>
          <w:b w:val="false"/>
          <w:bCs/>
          <w:sz w:val="24"/>
          <w:szCs w:val="24"/>
          <w:shd w:fill="auto" w:val="clear"/>
        </w:rPr>
        <w:t>ы</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auto" w:val="clear"/>
        </w:rPr>
        <w:t>филиала ПАО «РусГидро»-«Загорская ГАЭС».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color w:val="000000"/>
          <w:sz w:val="24"/>
          <w:szCs w:val="24"/>
          <w:shd w:fill="auto" w:val="clear"/>
        </w:rPr>
        <w:t>141342, Московская обл., Сергиево-Посадский г.о., пгт. Богородское, д. 100</w:t>
      </w:r>
      <w:r>
        <w:rPr>
          <w:sz w:val="24"/>
          <w:szCs w:val="24"/>
          <w:shd w:fill="auto" w:val="clear"/>
        </w:rPr>
        <w:t xml:space="preserve">  </w:t>
      </w:r>
      <w:r>
        <w:rPr>
          <w:sz w:val="24"/>
          <w:szCs w:val="24"/>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bCs/>
          <w:sz w:val="24"/>
          <w:szCs w:val="24"/>
          <w:shd w:fill="auto" w:val="clear"/>
        </w:rPr>
        <w:t>«__»_______2026</w:t>
      </w:r>
      <w:r>
        <w:rPr>
          <w:bCs/>
          <w:sz w:val="24"/>
          <w:szCs w:val="24"/>
        </w:rPr>
        <w:t xml:space="preserve">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твердой</w:t>
      </w:r>
      <w:r>
        <w:rPr>
          <w:rStyle w:val="FootnoteReference"/>
          <w:bCs/>
          <w:sz w:val="24"/>
          <w:szCs w:val="24"/>
          <w:shd w:fill="auto" w:val="clear"/>
          <w:vertAlign w:val="superscript"/>
        </w:rPr>
        <w:footnoteReference w:id="2"/>
      </w:r>
      <w:r>
        <w:rPr>
          <w:bCs/>
          <w:sz w:val="24"/>
          <w:szCs w:val="24"/>
        </w:rPr>
        <w:t xml:space="preserve"> и составляет</w:t>
      </w:r>
      <w:r>
        <w:rPr>
          <w:bCs/>
          <w:sz w:val="24"/>
          <w:szCs w:val="24"/>
          <w:shd w:fill="auto" w:val="clear"/>
        </w:rPr>
        <w:t xml:space="preserve">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0"/>
          <w:numId w:val="0"/>
        </w:numPr>
        <w:tabs>
          <w:tab w:val="clear" w:pos="709"/>
          <w:tab w:val="left" w:pos="568" w:leader="none"/>
          <w:tab w:val="left" w:pos="1134" w:leader="none"/>
        </w:tabs>
        <w:ind w:left="0" w:hanging="0"/>
        <w:jc w:val="both"/>
        <w:rPr>
          <w:bCs/>
          <w:sz w:val="24"/>
          <w:szCs w:val="24"/>
          <w:highlight w:val="lightGray"/>
        </w:rPr>
      </w:pPr>
      <w:r>
        <w:rPr>
          <w:bCs/>
          <w:sz w:val="24"/>
          <w:szCs w:val="24"/>
          <w:highlight w:val="lightGray"/>
        </w:rPr>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shd w:fill="auto" w:val="clear"/>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 xml:space="preserve">Авансовый платеж в размере 30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tabs>
          <w:tab w:val="clear" w:pos="709"/>
        </w:tabs>
        <w:ind w:left="0" w:firstLine="709"/>
        <w:jc w:val="both"/>
        <w:rPr>
          <w:sz w:val="24"/>
        </w:rPr>
      </w:pPr>
      <w:r>
        <w:rPr>
          <w:sz w:val="24"/>
        </w:rPr>
        <w:t xml:space="preserve">Окончательный платеж в размере  разницы между стоимостью Товара без учёта НДС, кроме того НДС по ставке, установленной статьёй 164 НК РФ,  выплачивается Поставщику в течение </w:t>
      </w:r>
      <w:r>
        <w:rPr>
          <w:sz w:val="24"/>
          <w:shd w:fill="auto" w:val="clear"/>
        </w:rPr>
        <w:t xml:space="preserve"> 7 (семи) рабочих дней </w:t>
      </w:r>
      <w:r>
        <w:rPr>
          <w:sz w:val="24"/>
        </w:rPr>
        <w:t>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shd w:fill="auto" w:val="clear"/>
        </w:rPr>
        <w:t xml:space="preserve">1 (одном) </w:t>
      </w:r>
      <w:r>
        <w:rPr>
          <w:sz w:val="24"/>
          <w:szCs w:val="24"/>
        </w:rPr>
        <w:t>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shd w:fill="auto" w:val="clear"/>
        </w:rPr>
        <w:t>1 (одном)</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shd w:fill="auto" w:val="clear"/>
        </w:rPr>
        <w:t xml:space="preserve">2 (двух) </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sz w:val="24"/>
          <w:szCs w:val="24"/>
          <w:shd w:fill="auto" w:val="clear"/>
        </w:rPr>
        <w:t xml:space="preserve">и перемещение Товара (в том числе </w:t>
        <w:br/>
        <w:t>по территории Покупателя)</w:t>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w:t>
      </w:r>
      <w:r>
        <w:rPr>
          <w:sz w:val="24"/>
          <w:szCs w:val="24"/>
          <w:shd w:fill="auto" w:val="clear"/>
        </w:rPr>
        <w:t xml:space="preserve"> 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3 (трех) </w:t>
      </w:r>
      <w:r>
        <w:rPr>
          <w:sz w:val="24"/>
          <w:szCs w:val="24"/>
        </w:rPr>
        <w:t xml:space="preserve">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shd w:fill="auto" w:val="clear"/>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0"/>
          <w:numId w:val="0"/>
        </w:numPr>
        <w:shd w:val="clear" w:color="auto" w:fill="FFFFFF"/>
        <w:tabs>
          <w:tab w:val="clear" w:pos="709"/>
          <w:tab w:val="left" w:pos="1134" w:leader="none"/>
        </w:tabs>
        <w:ind w:left="0" w:hanging="0"/>
        <w:jc w:val="both"/>
        <w:rPr>
          <w:sz w:val="24"/>
          <w:szCs w:val="24"/>
        </w:rPr>
      </w:pPr>
      <w:r>
        <w:rPr>
          <w:sz w:val="24"/>
          <w:szCs w:val="24"/>
        </w:rPr>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0"/>
          <w:numId w:val="0"/>
        </w:numPr>
        <w:shd w:val="clear" w:color="auto" w:fill="FFFFFF"/>
        <w:tabs>
          <w:tab w:val="clear" w:pos="709"/>
          <w:tab w:val="left" w:pos="1134" w:leader="none"/>
          <w:tab w:val="left" w:pos="1985" w:leader="none"/>
        </w:tabs>
        <w:ind w:left="0" w:hanging="0"/>
        <w:jc w:val="both"/>
        <w:rPr>
          <w:bCs/>
          <w:sz w:val="24"/>
          <w:szCs w:val="24"/>
        </w:rPr>
      </w:pPr>
      <w:r>
        <w:rPr>
          <w:bCs/>
          <w:sz w:val="24"/>
          <w:szCs w:val="24"/>
        </w:rPr>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7"/>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7"/>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7"/>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7"/>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7"/>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7"/>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7"/>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17"/>
        </w:numPr>
        <w:ind w:left="0" w:firstLine="709"/>
        <w:jc w:val="both"/>
        <w:rPr>
          <w:highlight w:val="none"/>
          <w:shd w:fill="auto" w:val="clear"/>
        </w:rPr>
      </w:pPr>
      <w:r>
        <w:rPr>
          <w:sz w:val="24"/>
          <w:szCs w:val="24"/>
          <w:shd w:fill="auto" w:val="clear"/>
        </w:rPr>
        <w:t xml:space="preserve">В случае если неисполнение / ненадлежащее исполнение Поставщиком обязательств по Договору повлекло за собой нарушение </w:t>
      </w:r>
      <w:r>
        <w:rPr>
          <w:bCs/>
          <w:sz w:val="24"/>
          <w:szCs w:val="24"/>
          <w:shd w:fill="auto" w:val="clear"/>
        </w:rPr>
        <w:t>Покупателем</w:t>
      </w:r>
      <w:r>
        <w:rPr>
          <w:sz w:val="24"/>
          <w:szCs w:val="24"/>
          <w:shd w:fill="auto" w:val="clear"/>
        </w:rPr>
        <w:t xml:space="preserve"> обязательств </w:t>
        <w:br/>
        <w:t xml:space="preserve">на оптовом и / или розничных рынках электрической энергии и мощности, Поставщик несет ответственность перед </w:t>
      </w:r>
      <w:r>
        <w:rPr>
          <w:bCs/>
          <w:sz w:val="24"/>
          <w:szCs w:val="24"/>
          <w:shd w:fill="auto" w:val="clear"/>
        </w:rPr>
        <w:t>Покупателем</w:t>
      </w:r>
      <w:r>
        <w:rPr>
          <w:sz w:val="24"/>
          <w:szCs w:val="24"/>
          <w:shd w:fill="auto" w:val="clear"/>
        </w:rPr>
        <w:t xml:space="preserve"> за причиненный ущерб в размере фактически понесенных и документально подтвержденных расходов, произведенных </w:t>
        <w:br/>
        <w:t xml:space="preserve">для восстановления нарушенного права, в том числе в части затрат, понесенных </w:t>
      </w:r>
      <w:r>
        <w:rPr>
          <w:bCs/>
          <w:sz w:val="24"/>
          <w:szCs w:val="24"/>
          <w:shd w:fill="auto" w:val="clear"/>
        </w:rPr>
        <w:t>Покупателем</w:t>
      </w:r>
      <w:r>
        <w:rPr>
          <w:sz w:val="24"/>
          <w:szCs w:val="24"/>
          <w:shd w:fill="auto" w:val="clear"/>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pPr>
        <w:pStyle w:val="Normal"/>
        <w:ind w:firstLine="709"/>
        <w:jc w:val="both"/>
        <w:rPr>
          <w:highlight w:val="none"/>
          <w:shd w:fill="auto" w:val="clear"/>
        </w:rPr>
      </w:pPr>
      <w:r>
        <w:rPr>
          <w:sz w:val="24"/>
          <w:szCs w:val="24"/>
          <w:shd w:fill="auto" w:val="clear"/>
        </w:rPr>
        <w:t xml:space="preserve">Кроме суммы реального ущерба, Поставщик компенсирует </w:t>
      </w:r>
      <w:r>
        <w:rPr>
          <w:bCs/>
          <w:sz w:val="24"/>
          <w:szCs w:val="24"/>
          <w:shd w:fill="auto" w:val="clear"/>
        </w:rPr>
        <w:t>Покупателем</w:t>
      </w:r>
      <w:r>
        <w:rPr>
          <w:sz w:val="24"/>
          <w:szCs w:val="24"/>
          <w:shd w:fill="auto" w:val="clear"/>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ind w:firstLine="709"/>
        <w:jc w:val="both"/>
        <w:rPr>
          <w:highlight w:val="none"/>
          <w:shd w:fill="auto" w:val="clear"/>
        </w:rPr>
      </w:pPr>
      <w:r>
        <w:rPr>
          <w:sz w:val="24"/>
          <w:szCs w:val="24"/>
          <w:shd w:fill="auto" w:val="clear"/>
        </w:rPr>
        <w:t xml:space="preserve">Размер упущенной выгоды (выручки) подтверждается (по выбору </w:t>
      </w:r>
      <w:r>
        <w:rPr>
          <w:bCs/>
          <w:sz w:val="24"/>
          <w:szCs w:val="24"/>
          <w:shd w:fill="auto" w:val="clear"/>
        </w:rPr>
        <w:t>Покупателя</w:t>
      </w:r>
      <w:r>
        <w:rPr>
          <w:sz w:val="24"/>
          <w:szCs w:val="24"/>
          <w:shd w:fill="auto" w:val="clear"/>
        </w:rPr>
        <w:t>):</w:t>
      </w:r>
    </w:p>
    <w:p>
      <w:pPr>
        <w:pStyle w:val="Normal"/>
        <w:widowControl/>
        <w:numPr>
          <w:ilvl w:val="0"/>
          <w:numId w:val="14"/>
        </w:numPr>
        <w:spacing w:lineRule="auto" w:line="259"/>
        <w:ind w:left="0" w:firstLine="709"/>
        <w:jc w:val="both"/>
        <w:rPr>
          <w:highlight w:val="none"/>
          <w:shd w:fill="auto" w:val="clear"/>
        </w:rPr>
      </w:pPr>
      <w:r>
        <w:rPr>
          <w:sz w:val="24"/>
          <w:szCs w:val="24"/>
          <w:shd w:fill="auto" w:val="clear"/>
        </w:rPr>
        <w:t>в ценовых зонах:</w:t>
      </w:r>
    </w:p>
    <w:p>
      <w:pPr>
        <w:pStyle w:val="Normal"/>
        <w:ind w:firstLine="709"/>
        <w:jc w:val="both"/>
        <w:rPr>
          <w:highlight w:val="none"/>
          <w:shd w:fill="auto" w:val="clear"/>
        </w:rPr>
      </w:pPr>
      <w:r>
        <w:rPr>
          <w:sz w:val="24"/>
          <w:szCs w:val="24"/>
          <w:shd w:fill="auto" w:val="clear"/>
        </w:rPr>
        <w:t xml:space="preserve">расчетом, подготовленным Коммерческим оператором оптового рынка; </w:t>
      </w:r>
    </w:p>
    <w:p>
      <w:pPr>
        <w:pStyle w:val="Normal"/>
        <w:ind w:firstLine="709"/>
        <w:jc w:val="both"/>
        <w:rPr>
          <w:highlight w:val="none"/>
          <w:shd w:fill="auto" w:val="clear"/>
        </w:rPr>
      </w:pPr>
      <w:r>
        <w:rPr>
          <w:sz w:val="24"/>
          <w:szCs w:val="24"/>
          <w:shd w:fill="auto" w:val="clear"/>
        </w:rPr>
        <w:t>и / или</w:t>
      </w:r>
    </w:p>
    <w:p>
      <w:pPr>
        <w:pStyle w:val="Normal"/>
        <w:ind w:firstLine="709"/>
        <w:jc w:val="both"/>
        <w:rPr>
          <w:highlight w:val="none"/>
          <w:shd w:fill="auto" w:val="clear"/>
        </w:rPr>
      </w:pPr>
      <w:r>
        <w:rPr>
          <w:sz w:val="24"/>
          <w:szCs w:val="24"/>
          <w:shd w:fill="auto" w:val="clear"/>
        </w:rPr>
        <w:t xml:space="preserve">расчетом, подготовленным </w:t>
      </w:r>
      <w:r>
        <w:rPr>
          <w:bCs/>
          <w:sz w:val="24"/>
          <w:szCs w:val="24"/>
          <w:shd w:fill="auto" w:val="clear"/>
        </w:rPr>
        <w:t>Покупателем</w:t>
      </w:r>
      <w:r>
        <w:rPr>
          <w:sz w:val="24"/>
          <w:szCs w:val="24"/>
          <w:shd w:fill="auto" w:val="clear"/>
        </w:rPr>
        <w:t xml:space="preserve"> на основании методики, утвержденной Наблюдательным советом Ассоциации «Некоммерческое партнерство Совет рынка </w:t>
        <w:br/>
        <w:t>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widowControl w:val="false"/>
        <w:numPr>
          <w:ilvl w:val="0"/>
          <w:numId w:val="0"/>
        </w:numPr>
        <w:suppressAutoHyphens w:val="true"/>
        <w:bidi w:val="0"/>
        <w:spacing w:lineRule="auto" w:line="240" w:before="0" w:after="0"/>
        <w:ind w:left="0" w:firstLine="709"/>
        <w:jc w:val="both"/>
        <w:rPr>
          <w:sz w:val="24"/>
          <w:szCs w:val="24"/>
          <w:highlight w:val="lightGray"/>
        </w:rPr>
      </w:pPr>
      <w:r>
        <w:rPr>
          <w:sz w:val="24"/>
          <w:szCs w:val="24"/>
          <w:highlight w:val="lightGray"/>
        </w:rPr>
      </w:r>
    </w:p>
    <w:p>
      <w:pPr>
        <w:pStyle w:val="ListParagraph"/>
        <w:widowControl/>
        <w:numPr>
          <w:ilvl w:val="1"/>
          <w:numId w:val="17"/>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0"/>
          <w:numId w:val="0"/>
        </w:numPr>
        <w:ind w:left="0" w:hanging="0"/>
        <w:jc w:val="both"/>
        <w:rPr>
          <w:rFonts w:eastAsia="Calibri"/>
          <w:bCs/>
          <w:sz w:val="24"/>
          <w:szCs w:val="24"/>
          <w:highlight w:val="lightGray"/>
        </w:rPr>
      </w:pPr>
      <w:r>
        <w:rPr>
          <w:rFonts w:eastAsia="Calibri"/>
          <w:bCs/>
          <w:sz w:val="24"/>
          <w:szCs w:val="24"/>
          <w:highlight w:val="lightGray"/>
        </w:rPr>
      </w:r>
    </w:p>
    <w:p>
      <w:pPr>
        <w:pStyle w:val="ListParagraph"/>
        <w:widowControl/>
        <w:numPr>
          <w:ilvl w:val="1"/>
          <w:numId w:val="17"/>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7"/>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7"/>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7"/>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0"/>
          <w:numId w:val="0"/>
        </w:numPr>
        <w:shd w:val="clear" w:color="auto" w:fill="FFFFFF"/>
        <w:ind w:left="0" w:hanging="0"/>
        <w:jc w:val="both"/>
        <w:rPr>
          <w:bCs/>
          <w:sz w:val="24"/>
          <w:szCs w:val="24"/>
        </w:rPr>
      </w:pPr>
      <w:r>
        <w:rPr>
          <w:bCs/>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Московской области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 xml:space="preserve">14.8 </w:t>
      </w:r>
      <w:r>
        <w:rPr>
          <w:bCs/>
          <w:sz w:val="24"/>
          <w:szCs w:val="24"/>
        </w:rPr>
        <w:t>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numPr>
          <w:ilvl w:val="1"/>
          <w:numId w:val="2"/>
        </w:numPr>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 xml:space="preserve">14.7 </w:t>
      </w:r>
      <w:r>
        <w:rPr>
          <w:sz w:val="24"/>
          <w:szCs w:val="24"/>
        </w:rPr>
        <w:t xml:space="preserve">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shd w:fill="auto" w:val="clear"/>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shd w:fill="auto" w:val="clear"/>
        </w:rPr>
        <w:t xml:space="preserve">14.8 </w:t>
      </w:r>
      <w:r>
        <w:rPr>
          <w:sz w:val="24"/>
          <w:szCs w:val="24"/>
        </w:rPr>
        <w:t>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 xml:space="preserve">14.8.1 – 14.8.2 </w:t>
      </w:r>
      <w:r>
        <w:rPr>
          <w:bCs/>
          <w:sz w:val="24"/>
          <w:szCs w:val="24"/>
        </w:rPr>
        <w:t xml:space="preserve">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widowControl w:val="false"/>
        <w:suppressAutoHyphens w:val="true"/>
        <w:bidi w:val="0"/>
        <w:spacing w:before="0" w:after="0"/>
        <w:ind w:firstLine="709"/>
        <w:jc w:val="both"/>
        <w:rPr>
          <w:bCs/>
          <w:sz w:val="24"/>
          <w:szCs w:val="24"/>
          <w:highlight w:val="lightGray"/>
        </w:rPr>
      </w:pPr>
      <w:r>
        <w:rPr>
          <w:bCs/>
          <w:sz w:val="24"/>
          <w:szCs w:val="24"/>
          <w:highlight w:val="lightGray"/>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highlight w:val="none"/>
                <w:shd w:fill="auto" w:val="clear"/>
              </w:rPr>
            </w:pPr>
            <w:r>
              <w:rPr>
                <w:sz w:val="24"/>
                <w:szCs w:val="24"/>
                <w:shd w:fill="auto" w:val="clear"/>
              </w:rPr>
              <w:t>ПОКУПАТЕЛЬ:</w:t>
            </w:r>
          </w:p>
        </w:tc>
        <w:tc>
          <w:tcPr>
            <w:tcW w:w="4962" w:type="dxa"/>
            <w:gridSpan w:val="2"/>
            <w:tcBorders/>
          </w:tcPr>
          <w:p>
            <w:pPr>
              <w:pStyle w:val="Normal"/>
              <w:widowControl w:val="false"/>
              <w:rPr>
                <w:highlight w:val="none"/>
                <w:shd w:fill="auto" w:val="clear"/>
              </w:rPr>
            </w:pPr>
            <w:r>
              <w:rPr>
                <w:sz w:val="24"/>
                <w:szCs w:val="24"/>
                <w:shd w:fill="auto" w:val="clear"/>
              </w:rPr>
              <w:t>ПОСТАВЩИК:</w:t>
            </w:r>
          </w:p>
        </w:tc>
      </w:tr>
      <w:tr>
        <w:trPr/>
        <w:tc>
          <w:tcPr>
            <w:tcW w:w="4928"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г. Красноярск, ул. Перенсона, зд. 2а, помещ.1</w:t>
            </w:r>
          </w:p>
          <w:p>
            <w:pPr>
              <w:pStyle w:val="Normal"/>
              <w:widowControl w:val="false"/>
              <w:rPr>
                <w:sz w:val="24"/>
                <w:szCs w:val="24"/>
              </w:rPr>
            </w:pPr>
            <w:r>
              <w:rPr>
                <w:sz w:val="24"/>
                <w:szCs w:val="24"/>
              </w:rPr>
              <w:t xml:space="preserve">Грузополучатель, Плательщик: </w:t>
            </w:r>
          </w:p>
          <w:p>
            <w:pPr>
              <w:pStyle w:val="Normal"/>
              <w:widowControl w:val="false"/>
              <w:rPr>
                <w:sz w:val="24"/>
                <w:szCs w:val="24"/>
              </w:rPr>
            </w:pPr>
            <w:r>
              <w:rPr>
                <w:sz w:val="24"/>
                <w:szCs w:val="24"/>
              </w:rPr>
              <w:t xml:space="preserve">Филиал ПАО «РусГидро» - «Загорская ГАЭС» </w:t>
            </w:r>
          </w:p>
          <w:p>
            <w:pPr>
              <w:pStyle w:val="Normal"/>
              <w:widowControl w:val="false"/>
              <w:rPr>
                <w:sz w:val="24"/>
                <w:szCs w:val="24"/>
              </w:rPr>
            </w:pPr>
            <w:r>
              <w:rPr>
                <w:sz w:val="24"/>
                <w:szCs w:val="24"/>
              </w:rPr>
              <w:t>Место нахождения Филиала:</w:t>
            </w:r>
          </w:p>
          <w:p>
            <w:pPr>
              <w:pStyle w:val="Normal"/>
              <w:widowControl w:val="false"/>
              <w:rPr>
                <w:sz w:val="24"/>
                <w:szCs w:val="24"/>
              </w:rPr>
            </w:pPr>
            <w:r>
              <w:rPr>
                <w:sz w:val="24"/>
                <w:szCs w:val="24"/>
              </w:rPr>
              <w:t>Россия, 141342, Московская область, Сергиево-Посадский г.о., пгт. Богородское, д. 100</w:t>
            </w:r>
          </w:p>
          <w:p>
            <w:pPr>
              <w:pStyle w:val="Normal"/>
              <w:widowControl w:val="false"/>
              <w:rPr>
                <w:sz w:val="24"/>
                <w:szCs w:val="24"/>
              </w:rPr>
            </w:pPr>
            <w:r>
              <w:rPr>
                <w:sz w:val="24"/>
                <w:szCs w:val="24"/>
              </w:rPr>
              <w:t>ИНН 2460066195 КПП 504202001</w:t>
            </w:r>
          </w:p>
          <w:p>
            <w:pPr>
              <w:pStyle w:val="Normal"/>
              <w:widowControl w:val="false"/>
              <w:rPr>
                <w:sz w:val="24"/>
                <w:szCs w:val="24"/>
              </w:rPr>
            </w:pPr>
            <w:r>
              <w:rPr>
                <w:sz w:val="24"/>
                <w:szCs w:val="24"/>
              </w:rPr>
              <w:t>Р/с 40702810200190001070</w:t>
            </w:r>
          </w:p>
          <w:p>
            <w:pPr>
              <w:pStyle w:val="Normal"/>
              <w:widowControl w:val="false"/>
              <w:rPr>
                <w:sz w:val="24"/>
                <w:szCs w:val="24"/>
              </w:rPr>
            </w:pPr>
            <w:r>
              <w:rPr>
                <w:sz w:val="24"/>
                <w:szCs w:val="24"/>
              </w:rPr>
              <w:t>Филиал Банка ВТБ (ПАО) в г. Москва</w:t>
            </w:r>
          </w:p>
          <w:p>
            <w:pPr>
              <w:pStyle w:val="Normal"/>
              <w:widowControl w:val="false"/>
              <w:rPr>
                <w:sz w:val="24"/>
                <w:szCs w:val="24"/>
              </w:rPr>
            </w:pPr>
            <w:r>
              <w:rPr>
                <w:sz w:val="24"/>
                <w:szCs w:val="24"/>
              </w:rPr>
              <w:t>К/с 30101810700000000187</w:t>
            </w:r>
          </w:p>
          <w:p>
            <w:pPr>
              <w:pStyle w:val="Normal"/>
              <w:widowControl w:val="false"/>
              <w:rPr>
                <w:sz w:val="24"/>
                <w:szCs w:val="24"/>
              </w:rPr>
            </w:pPr>
            <w:r>
              <w:rPr>
                <w:sz w:val="24"/>
                <w:szCs w:val="24"/>
              </w:rPr>
              <w:t>БИК 044525187</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ОКВЭД 35.11.2, ОКПО 04622553</w:t>
            </w:r>
          </w:p>
          <w:p>
            <w:pPr>
              <w:pStyle w:val="Normal"/>
              <w:widowControl w:val="false"/>
              <w:rPr>
                <w:sz w:val="24"/>
                <w:szCs w:val="24"/>
              </w:rPr>
            </w:pPr>
            <w:r>
              <w:rPr>
                <w:sz w:val="24"/>
                <w:szCs w:val="24"/>
              </w:rPr>
              <w:t xml:space="preserve">ОКАТО 46215553000 </w:t>
            </w:r>
          </w:p>
          <w:p>
            <w:pPr>
              <w:pStyle w:val="Normal"/>
              <w:widowControl w:val="false"/>
              <w:rPr>
                <w:sz w:val="24"/>
                <w:szCs w:val="24"/>
              </w:rPr>
            </w:pPr>
            <w:r>
              <w:rPr>
                <w:sz w:val="24"/>
                <w:szCs w:val="24"/>
              </w:rPr>
              <w:t>ОКОПФ 30002 ОКОГУ 4210014</w:t>
            </w:r>
          </w:p>
          <w:p>
            <w:pPr>
              <w:pStyle w:val="Normal"/>
              <w:widowControl w:val="false"/>
              <w:rPr>
                <w:sz w:val="24"/>
                <w:szCs w:val="24"/>
              </w:rPr>
            </w:pPr>
            <w:r>
              <w:rPr>
                <w:sz w:val="24"/>
                <w:szCs w:val="24"/>
              </w:rPr>
              <w:t>Тел. (496) 554-75-00</w:t>
            </w:r>
          </w:p>
          <w:p>
            <w:pPr>
              <w:pStyle w:val="Normal"/>
              <w:widowControl w:val="false"/>
              <w:rPr>
                <w:sz w:val="24"/>
                <w:szCs w:val="24"/>
              </w:rPr>
            </w:pPr>
            <w:r>
              <w:rPr>
                <w:sz w:val="24"/>
                <w:szCs w:val="24"/>
              </w:rPr>
            </w:r>
          </w:p>
        </w:tc>
        <w:tc>
          <w:tcPr>
            <w:tcW w:w="4962"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8" w:type="dxa"/>
            <w:tcBorders/>
          </w:tcPr>
          <w:p>
            <w:pPr>
              <w:pStyle w:val="Normal"/>
              <w:widowControl w:val="false"/>
              <w:rPr>
                <w:sz w:val="24"/>
                <w:szCs w:val="24"/>
              </w:rPr>
            </w:pPr>
            <w:r>
              <w:rPr>
                <w:sz w:val="24"/>
                <w:szCs w:val="24"/>
              </w:rPr>
              <w:t xml:space="preserve">Директор филиала </w:t>
            </w:r>
          </w:p>
          <w:p>
            <w:pPr>
              <w:pStyle w:val="Normal"/>
              <w:widowControl w:val="false"/>
              <w:rPr>
                <w:sz w:val="24"/>
                <w:szCs w:val="24"/>
              </w:rPr>
            </w:pPr>
            <w:r>
              <w:rPr>
                <w:sz w:val="24"/>
                <w:szCs w:val="24"/>
              </w:rPr>
              <w:t>ПАО «РусГидро» - «Загорская ГАЭС»</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 В.В. Жизневский /</w:t>
            </w:r>
          </w:p>
          <w:p>
            <w:pPr>
              <w:pStyle w:val="Normal"/>
              <w:widowControl w:val="false"/>
              <w:rPr>
                <w:sz w:val="24"/>
                <w:szCs w:val="24"/>
              </w:rPr>
            </w:pPr>
            <w:r>
              <w:rPr/>
              <w:t>М.П.</w:t>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326" w:type="dxa"/>
            <w:tcBorders/>
          </w:tcPr>
          <w:p>
            <w:pPr>
              <w:pStyle w:val="Normal"/>
              <w:widowControl w:val="false"/>
              <w:rPr>
                <w:highlight w:val="none"/>
                <w:shd w:fill="auto" w:val="clear"/>
              </w:rPr>
            </w:pPr>
            <w:r>
              <w:rPr>
                <w:shd w:fill="auto" w:val="clea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widowControl w:val="false"/>
        <w:suppressAutoHyphens w:val="true"/>
        <w:bidi w:val="0"/>
        <w:spacing w:before="0" w:after="0"/>
        <w:ind w:left="9598" w:right="96" w:hanging="0"/>
        <w:jc w:val="left"/>
        <w:rPr>
          <w:sz w:val="22"/>
          <w:szCs w:val="22"/>
        </w:rPr>
      </w:pPr>
      <w:r>
        <w:rPr>
          <w:sz w:val="22"/>
          <w:szCs w:val="22"/>
        </w:rPr>
        <w:t>Приложение № 1</w:t>
      </w:r>
    </w:p>
    <w:p>
      <w:pPr>
        <w:pStyle w:val="Normal"/>
        <w:widowControl w:val="false"/>
        <w:suppressAutoHyphens w:val="true"/>
        <w:bidi w:val="0"/>
        <w:spacing w:before="0" w:after="0"/>
        <w:ind w:left="9598" w:right="96" w:hanging="0"/>
        <w:jc w:val="left"/>
        <w:rPr>
          <w:sz w:val="22"/>
          <w:szCs w:val="22"/>
        </w:rPr>
      </w:pPr>
      <w:r>
        <w:rPr>
          <w:sz w:val="22"/>
          <w:szCs w:val="22"/>
        </w:rPr>
        <w:t>к Договору поставки</w:t>
      </w:r>
    </w:p>
    <w:p>
      <w:pPr>
        <w:pStyle w:val="Normal"/>
        <w:widowControl w:val="false"/>
        <w:suppressAutoHyphens w:val="true"/>
        <w:bidi w:val="0"/>
        <w:spacing w:before="0" w:after="0"/>
        <w:ind w:left="9598" w:right="96" w:hanging="0"/>
        <w:jc w:val="left"/>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5"/>
        <w:gridCol w:w="639"/>
        <w:gridCol w:w="799"/>
        <w:gridCol w:w="766"/>
        <w:gridCol w:w="644"/>
        <w:gridCol w:w="761"/>
        <w:gridCol w:w="721"/>
        <w:gridCol w:w="378"/>
        <w:gridCol w:w="155"/>
        <w:gridCol w:w="668"/>
        <w:gridCol w:w="580"/>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4"/>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5"/>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6"/>
      </w:r>
      <w:r>
        <w:rPr>
          <w:sz w:val="24"/>
          <w:szCs w:val="24"/>
        </w:rPr>
        <w:t>, а также соответствовать следующим критериям:</w:t>
      </w:r>
    </w:p>
    <w:p>
      <w:pPr>
        <w:pStyle w:val="Normal"/>
        <w:widowControl/>
        <w:numPr>
          <w:ilvl w:val="1"/>
          <w:numId w:val="15"/>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5"/>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5"/>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5"/>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7"/>
      </w:r>
      <w:r>
        <w:rPr>
          <w:sz w:val="24"/>
          <w:szCs w:val="24"/>
        </w:rPr>
        <w:t xml:space="preserve">. </w:t>
      </w:r>
    </w:p>
    <w:p>
      <w:pPr>
        <w:pStyle w:val="Normal"/>
        <w:widowControl/>
        <w:numPr>
          <w:ilvl w:val="1"/>
          <w:numId w:val="15"/>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8"/>
      </w:r>
      <w:r>
        <w:rPr>
          <w:sz w:val="24"/>
          <w:szCs w:val="24"/>
        </w:rPr>
        <w:t>.</w:t>
      </w:r>
    </w:p>
    <w:p>
      <w:pPr>
        <w:pStyle w:val="Normal"/>
        <w:widowControl/>
        <w:numPr>
          <w:ilvl w:val="1"/>
          <w:numId w:val="15"/>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5"/>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5"/>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9"/>
      </w:r>
      <w:r>
        <w:rPr>
          <w:sz w:val="24"/>
          <w:szCs w:val="24"/>
        </w:rPr>
        <w:t>.</w:t>
      </w:r>
    </w:p>
    <w:p>
      <w:pPr>
        <w:pStyle w:val="Normal"/>
        <w:widowControl/>
        <w:numPr>
          <w:ilvl w:val="1"/>
          <w:numId w:val="15"/>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6"/>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6"/>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6"/>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6"/>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5"/>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10"/>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lang w:val="en-GB"/>
              </w:rPr>
              <w:footnoteReference w:id="11"/>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suppressAutoHyphens w:val="true"/>
        <w:bidi w:val="0"/>
        <w:snapToGrid w:val="true"/>
        <w:spacing w:before="120" w:after="20"/>
        <w:ind w:hanging="0"/>
        <w:jc w:val="both"/>
        <w:rPr>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28</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p>
  </w:footnote>
  <w:footnote w:id="3">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5">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0">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6">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7">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Application>AlterOffice/3.4.0.9$Linux_X86_64 LibreOffice_project/b8daf9e823b1a5463a2f48435ddc2e8696e7d4fc</Application>
  <AppVersion>15.0000</AppVersion>
  <Pages>28</Pages>
  <Words>9117</Words>
  <Characters>65077</Characters>
  <CharactersWithSpaces>73919</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medvedevala@corp.gidroogk.com</cp:lastModifiedBy>
  <cp:lastPrinted>2018-05-22T09:46:00Z</cp:lastPrinted>
  <dcterms:modified xsi:type="dcterms:W3CDTF">2026-05-08T08:11:14Z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