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>
      <w:pPr>
        <w:pStyle w:val="Normal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 _______________2026г.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bookmarkStart w:id="0" w:name="_Toc124846883"/>
      <w:bookmarkStart w:id="1" w:name="_Toc124591877"/>
      <w:bookmarkStart w:id="2" w:name="_Toc124592000"/>
      <w:r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ОКПД2: 26.30.50.129 </w:t>
      </w:r>
      <w:r>
        <w:rPr>
          <w:b/>
          <w:sz w:val="24"/>
          <w:szCs w:val="24"/>
        </w:rPr>
        <w:t>Поставка оросителей дренчерных водяных и пенных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для </w:t>
      </w:r>
      <w:r>
        <w:rPr>
          <w:b/>
          <w:sz w:val="24"/>
          <w:szCs w:val="24"/>
        </w:rPr>
        <w:t>нужд Воткинского филиала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ЛОТ №0030</w:t>
      </w:r>
      <w:r>
        <w:rPr>
          <w:b/>
          <w:sz w:val="24"/>
          <w:szCs w:val="24"/>
        </w:rPr>
        <w:t>-РЕМ ДОХ-2026-ГРВКК-ВотФ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  <w:rFonts w:eastAsia="Calibri"/>
            </w:rPr>
            <w:fldChar w:fldCharType="separate"/>
          </w:r>
          <w:hyperlink w:anchor="_Toc150939782">
            <w:r>
              <w:rPr>
                <w:webHidden/>
                <w:rStyle w:val="Style15"/>
                <w:rFonts w:eastAsia="Calibri"/>
                <w:vanish w:val="false"/>
              </w:rPr>
              <w:t>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3">
            <w:r>
              <w:rPr>
                <w:webHidden/>
                <w:rStyle w:val="Style15"/>
                <w:rFonts w:eastAsia="Calibri"/>
                <w:iCs/>
                <w:vanish w:val="false"/>
              </w:rPr>
              <w:t>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4">
            <w:r>
              <w:rPr>
                <w:webHidden/>
                <w:rStyle w:val="Style15"/>
                <w:rFonts w:eastAsia="Calibri"/>
                <w:iCs/>
                <w:vanish w:val="false"/>
              </w:rPr>
              <w:t>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85">
            <w:r>
              <w:rPr>
                <w:webHidden/>
                <w:rStyle w:val="Style15"/>
                <w:rFonts w:eastAsia="Calibri"/>
                <w:vanish w:val="false"/>
              </w:rPr>
              <w:t>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6">
            <w:r>
              <w:rPr>
                <w:webHidden/>
                <w:rStyle w:val="Style15"/>
                <w:rFonts w:eastAsia="Calibri"/>
                <w:iCs/>
                <w:vanish w:val="false"/>
              </w:rPr>
              <w:t>2.1.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7">
            <w:r>
              <w:rPr>
                <w:webHidden/>
                <w:rStyle w:val="Style15"/>
                <w:rFonts w:eastAsia="Calibri"/>
                <w:vanish w:val="false"/>
              </w:rPr>
              <w:t>2.1.1.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88">
            <w:r>
              <w:rPr>
                <w:webHidden/>
                <w:rStyle w:val="Style15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89">
            <w:r>
              <w:rPr>
                <w:webHidden/>
                <w:rStyle w:val="Style15"/>
                <w:rFonts w:eastAsia="Calibri"/>
                <w:vanish w:val="false"/>
              </w:rPr>
              <w:t>2.1.2.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0">
            <w:r>
              <w:rPr>
                <w:webHidden/>
                <w:rStyle w:val="Style15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0939791">
            <w:r>
              <w:rPr>
                <w:webHidden/>
                <w:rStyle w:val="Style15"/>
                <w:rFonts w:eastAsia="Calibri"/>
                <w:iCs/>
                <w:vanish w:val="false"/>
              </w:rPr>
              <w:t>2.2.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2">
            <w:r>
              <w:rPr>
                <w:webHidden/>
                <w:rStyle w:val="Style15"/>
                <w:rFonts w:eastAsia="Calibri"/>
                <w:vanish w:val="false"/>
              </w:rPr>
              <w:t>Таблица 3.</w:t>
            </w:r>
            <w:r>
              <w:rPr>
                <w:rStyle w:val="Style15"/>
                <w:rFonts w:eastAsia="Calibri"/>
                <w:vanish w:val="false"/>
                <w:lang w:val="en-US"/>
              </w:rPr>
              <w:t>1</w:t>
            </w:r>
            <w:r>
              <w:rPr>
                <w:rStyle w:val="Style15"/>
                <w:rFonts w:eastAsia="Calibri"/>
                <w:vanish w:val="false"/>
              </w:rPr>
              <w:t xml:space="preserve">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939793">
            <w:r>
              <w:rPr>
                <w:webHidden/>
                <w:rStyle w:val="Style15"/>
                <w:rFonts w:eastAsia="Calibri"/>
                <w:vanish w:val="false"/>
              </w:rPr>
              <w:t>3.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rStyle w:val="Style15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_Toc150939793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  <w:lang w:val="en-US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20"/>
        </w:numPr>
        <w:rPr/>
      </w:pPr>
      <w:bookmarkStart w:id="3" w:name="_Toc124846884"/>
      <w:r>
        <w:rPr>
          <w:iCs/>
        </w:rPr>
        <w:t>Общие</w:t>
      </w:r>
      <w:r>
        <w:rPr/>
        <w:t xml:space="preserve"> сведения</w:t>
      </w:r>
      <w:bookmarkEnd w:id="3"/>
    </w:p>
    <w:p>
      <w:pPr>
        <w:pStyle w:val="Heading4"/>
        <w:numPr>
          <w:ilvl w:val="1"/>
          <w:numId w:val="21"/>
        </w:numPr>
        <w:ind w:left="709" w:hanging="709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Heading4"/>
        <w:numPr>
          <w:ilvl w:val="0"/>
        </w:numPr>
        <w:ind w:left="432" w:hanging="432"/>
        <w:rPr/>
      </w:pPr>
      <w:bookmarkStart w:id="6" w:name="_Toc75446569"/>
      <w:r>
        <w:rPr>
          <w:rFonts w:eastAsia="Times New Roman"/>
          <w:b w:val="false"/>
          <w:bCs w:val="false"/>
          <w:color w:val="FF0000"/>
          <w:lang w:val="ru-RU" w:eastAsia="ru-RU"/>
        </w:rPr>
        <w:t xml:space="preserve">ОКПД2: 26.30.50.129 </w:t>
      </w:r>
      <w:r>
        <w:rPr>
          <w:rFonts w:eastAsia="Times New Roman"/>
          <w:b w:val="false"/>
          <w:bCs w:val="false"/>
          <w:lang w:val="ru-RU" w:eastAsia="ru-RU"/>
        </w:rPr>
        <w:t>Поставка оросителей дренчерных водяных и пенных для нужд Воткинского филиала</w:t>
      </w:r>
    </w:p>
    <w:p>
      <w:pPr>
        <w:pStyle w:val="Heading4"/>
        <w:numPr>
          <w:ilvl w:val="1"/>
          <w:numId w:val="22"/>
        </w:numPr>
        <w:ind w:left="709" w:hanging="709"/>
        <w:rPr/>
      </w:pPr>
      <w:bookmarkStart w:id="7" w:name="_Toc46743507"/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Исполнение доходного Договора №1180-267-2023 «Капитальный и текущий ремонт оборудования, зданий, сооружений филиала ПАО «РусГидро» – «Камская ГЭС»», заключенного между Воткинским филиалом АО «Гидроремонт-ВКК» в г. Чайковском и филиалом ПАО «РусГидро» – «Камская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Оросители дренчерные водяные и пенные предназначены для установки в системе автоматического</w:t>
      </w:r>
      <w:bookmarkStart w:id="8" w:name="_GoBack"/>
      <w:bookmarkEnd w:id="8"/>
      <w:r>
        <w:rPr>
          <w:sz w:val="24"/>
          <w:szCs w:val="24"/>
        </w:rPr>
        <w:t xml:space="preserve"> пожаротушения трансформаторов филиала ПАО «РусГидро» – «Камская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1"/>
        <w:numPr>
          <w:ilvl w:val="0"/>
          <w:numId w:val="23"/>
        </w:numPr>
        <w:ind w:left="709" w:hanging="709"/>
        <w:rPr>
          <w:caps/>
          <w:lang w:val="ru-RU"/>
        </w:rPr>
      </w:pPr>
      <w:bookmarkStart w:id="9" w:name="_Toc124846885"/>
      <w:bookmarkStart w:id="10" w:name="_Toc75446573"/>
      <w:bookmarkStart w:id="11" w:name="_Toc51339693"/>
      <w:r>
        <w:rPr/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24"/>
        </w:numPr>
        <w:ind w:left="709" w:hanging="709"/>
        <w:rPr/>
      </w:pPr>
      <w:bookmarkStart w:id="12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25"/>
        </w:numPr>
        <w:ind w:left="709" w:hanging="709"/>
        <w:rPr/>
      </w:pPr>
      <w:bookmarkStart w:id="13" w:name="_Toc124846886"/>
      <w:bookmarkStart w:id="14" w:name="_Toc75446575"/>
      <w:r>
        <w:rPr/>
        <w:t>Перечень и объем закупаемой продукции</w:t>
      </w:r>
      <w:bookmarkEnd w:id="13"/>
      <w:bookmarkEnd w:id="14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5" w:name="_Toc124846887"/>
      <w:bookmarkStart w:id="16" w:name="_Toc124591881"/>
      <w:bookmarkStart w:id="17" w:name="_Toc124591777"/>
      <w:bookmarkStart w:id="18" w:name="_Toc75446576"/>
      <w:bookmarkStart w:id="19" w:name="_Toc51339695"/>
      <w:r>
        <w:rPr>
          <w:sz w:val="24"/>
          <w:szCs w:val="24"/>
        </w:rPr>
        <w:t xml:space="preserve">Таблица 1.1 Перечень </w:t>
      </w:r>
      <w:bookmarkEnd w:id="19"/>
      <w:r>
        <w:rPr>
          <w:sz w:val="24"/>
          <w:szCs w:val="24"/>
        </w:rPr>
        <w:t>и объем закупаемой продукции</w:t>
      </w:r>
      <w:bookmarkEnd w:id="15"/>
      <w:bookmarkEnd w:id="16"/>
      <w:bookmarkEnd w:id="17"/>
      <w:bookmarkEnd w:id="18"/>
    </w:p>
    <w:tbl>
      <w:tblPr>
        <w:tblW w:w="98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4678"/>
        <w:gridCol w:w="2690"/>
        <w:gridCol w:w="854"/>
        <w:gridCol w:w="991"/>
      </w:tblGrid>
      <w:tr>
        <w:trPr>
          <w:trHeight w:val="641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20" w:name="_Toc75446578"/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продукции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Тип, марка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Кол-во </w:t>
            </w:r>
          </w:p>
        </w:tc>
      </w:tr>
      <w:tr>
        <w:trPr>
          <w:trHeight w:val="16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</w:rPr>
              <w:t xml:space="preserve">ОКПД2: 26.30.50.129 </w:t>
            </w:r>
            <w:r>
              <w:rPr>
                <w:sz w:val="24"/>
                <w:szCs w:val="24"/>
              </w:rPr>
              <w:t>Поставка оросителей дренчерных водяных и пенных для нужд Воткинского филиала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ДУS0-PНа0,77-R1/2-В1,5" ОПДР-15Нерж- УСА"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шт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28</w:t>
            </w:r>
          </w:p>
        </w:tc>
      </w:tr>
    </w:tbl>
    <w:p>
      <w:pPr>
        <w:pStyle w:val="Heading3"/>
        <w:numPr>
          <w:ilvl w:val="2"/>
          <w:numId w:val="26"/>
        </w:numPr>
        <w:ind w:left="709" w:hanging="709"/>
        <w:rPr/>
      </w:pPr>
      <w:bookmarkStart w:id="21" w:name="_Toc124846888"/>
      <w:bookmarkStart w:id="22" w:name="_Toc51339696"/>
      <w:r>
        <w:rPr/>
        <w:t xml:space="preserve">Требования </w:t>
      </w:r>
      <w:bookmarkEnd w:id="22"/>
      <w:r>
        <w:rPr/>
        <w:t>к срокам поставки продукции</w:t>
      </w:r>
      <w:bookmarkEnd w:id="21"/>
      <w:r>
        <w:rPr/>
        <w:t xml:space="preserve"> 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124591883"/>
      <w:bookmarkStart w:id="24" w:name="_Toc124591779"/>
      <w:bookmarkStart w:id="25" w:name="_Toc75446579"/>
      <w:bookmarkStart w:id="26" w:name="_Toc124846889"/>
      <w:bookmarkStart w:id="27" w:name="_Toc51339697"/>
      <w:bookmarkStart w:id="28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29"/>
      <w:r>
        <w:rPr>
          <w:sz w:val="24"/>
          <w:szCs w:val="24"/>
          <w:lang w:val="ru-RU"/>
        </w:rPr>
        <w:t>поставки продукции</w:t>
      </w:r>
      <w:bookmarkEnd w:id="23"/>
      <w:bookmarkEnd w:id="24"/>
      <w:bookmarkEnd w:id="25"/>
      <w:bookmarkEnd w:id="26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5"/>
        <w:gridCol w:w="3404"/>
        <w:gridCol w:w="2980"/>
        <w:gridCol w:w="2691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3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jc w:val="center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ОКПД2: </w:t>
            </w:r>
            <w:r>
              <w:rPr>
                <w:color w:val="FF0000"/>
                <w:sz w:val="24"/>
                <w:szCs w:val="24"/>
              </w:rPr>
              <w:t xml:space="preserve">26.30.50.129 </w:t>
            </w:r>
            <w:r>
              <w:rPr>
                <w:sz w:val="24"/>
                <w:szCs w:val="24"/>
              </w:rPr>
              <w:t>Поставка оросителей дренчерных водяных и пенных для нужд Воткинского филиала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с момента заключения договора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30 календарных дней с даты подписания договора</w:t>
            </w:r>
          </w:p>
        </w:tc>
      </w:tr>
    </w:tbl>
    <w:p>
      <w:pPr>
        <w:pStyle w:val="Normal"/>
        <w:tabs>
          <w:tab w:val="clear" w:pos="708"/>
          <w:tab w:val="left" w:pos="1305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30" w:name="_Toc46743510"/>
      <w:bookmarkStart w:id="31" w:name="_Toc50125126"/>
      <w:bookmarkStart w:id="32" w:name="_Toc46743510"/>
      <w:bookmarkStart w:id="33" w:name="_Toc50125126"/>
      <w:bookmarkEnd w:id="32"/>
      <w:bookmarkEnd w:id="33"/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0" w:gutter="0" w:header="708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1305" w:leader="none"/>
        </w:tabs>
        <w:rPr>
          <w:lang w:val="x-none" w:eastAsia="x-none"/>
        </w:rPr>
      </w:pPr>
      <w:bookmarkStart w:id="34" w:name="_Toc46743510"/>
      <w:bookmarkStart w:id="35" w:name="_Toc50125126"/>
      <w:bookmarkEnd w:id="34"/>
      <w:bookmarkEnd w:id="35"/>
      <w:r>
        <w:rPr>
          <w:lang w:val="x-none" w:eastAsia="x-none"/>
        </w:rPr>
        <w:tab/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2.2.</w:t>
        <w:tab/>
        <w:t>Требования к качеству продукции.</w:t>
      </w:r>
    </w:p>
    <w:p>
      <w:pPr>
        <w:pStyle w:val="Normal"/>
        <w:spacing w:lineRule="auto" w:line="360"/>
        <w:rPr>
          <w:b/>
          <w:sz w:val="24"/>
        </w:rPr>
      </w:pPr>
      <w:bookmarkStart w:id="36" w:name="_Toc75446582"/>
      <w:r>
        <w:rPr>
          <w:b/>
          <w:sz w:val="24"/>
        </w:rPr>
        <w:t>Таблица 3.1 Требования к продукции</w:t>
      </w:r>
      <w:bookmarkEnd w:id="36"/>
      <w:r>
        <w:rPr>
          <w:b/>
          <w:sz w:val="24"/>
        </w:rPr>
        <w:t>.</w:t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 xml:space="preserve">Наименование продукции: </w:t>
      </w:r>
      <w:r>
        <w:rPr>
          <w:color w:val="FF0000"/>
          <w:sz w:val="24"/>
        </w:rPr>
        <w:t>ОКПД2:</w:t>
      </w:r>
      <w:r>
        <w:rPr>
          <w:color w:val="FF0000"/>
        </w:rPr>
        <w:t xml:space="preserve"> </w:t>
      </w:r>
      <w:r>
        <w:rPr>
          <w:color w:val="FF0000"/>
          <w:sz w:val="24"/>
        </w:rPr>
        <w:t xml:space="preserve">26.30.50.129 </w:t>
      </w:r>
      <w:r>
        <w:rPr>
          <w:sz w:val="24"/>
        </w:rPr>
        <w:t>Поставка оросителей дренчерных водяных и пенных для нужд Воткинского филиала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Style w:val="affff7"/>
        <w:tblW w:w="1518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1"/>
        <w:gridCol w:w="1540"/>
        <w:gridCol w:w="249"/>
        <w:gridCol w:w="6451"/>
        <w:gridCol w:w="2655"/>
        <w:gridCol w:w="3215"/>
        <w:gridCol w:w="235"/>
      </w:tblGrid>
      <w:tr>
        <w:trPr/>
        <w:tc>
          <w:tcPr>
            <w:tcW w:w="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78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44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4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0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4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4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Тип – ДУ</w:t>
            </w:r>
            <w:r>
              <w:rPr>
                <w:rFonts w:cs="Times New Roman"/>
                <w:kern w:val="0"/>
                <w:lang w:val="en-US" w:eastAsia="ru-RU" w:bidi="ar-SA"/>
              </w:rPr>
              <w:t>S</w:t>
            </w:r>
            <w:r>
              <w:rPr>
                <w:rFonts w:cs="Times New Roman"/>
                <w:kern w:val="0"/>
                <w:lang w:val="ru-RU" w:eastAsia="ru-RU" w:bidi="ar-SA"/>
              </w:rPr>
              <w:t>0-</w:t>
            </w:r>
            <w:r>
              <w:rPr>
                <w:rFonts w:cs="Times New Roman"/>
                <w:kern w:val="0"/>
                <w:lang w:val="en-US" w:eastAsia="ru-RU" w:bidi="ar-SA"/>
              </w:rPr>
              <w:t>P</w:t>
            </w:r>
            <w:r>
              <w:rPr>
                <w:rFonts w:cs="Times New Roman"/>
                <w:kern w:val="0"/>
                <w:lang w:val="ru-RU" w:eastAsia="ru-RU" w:bidi="ar-SA"/>
              </w:rPr>
              <w:t>На0,77-</w:t>
            </w:r>
            <w:r>
              <w:rPr>
                <w:rFonts w:cs="Times New Roman"/>
                <w:kern w:val="0"/>
                <w:lang w:val="en-US" w:eastAsia="ru-RU" w:bidi="ar-SA"/>
              </w:rPr>
              <w:t>R</w:t>
            </w:r>
            <w:r>
              <w:rPr>
                <w:rFonts w:cs="Times New Roman"/>
                <w:kern w:val="0"/>
                <w:lang w:val="ru-RU" w:eastAsia="ru-RU" w:bidi="ar-SA"/>
              </w:rPr>
              <w:t>1/2-В1,5"ОПДР-15Нерж- УСА";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Условный проход (Dy) – 15 мм;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Присоединительная резьба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–  </w:t>
            </w:r>
            <w:r>
              <w:rPr>
                <w:rFonts w:cs="Times New Roman"/>
                <w:kern w:val="0"/>
                <w:lang w:val="en-US" w:eastAsia="ru-RU" w:bidi="ar-SA"/>
              </w:rPr>
              <w:t>R1/2;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Материал – нержавеющая сталь;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И</w:t>
            </w:r>
            <w:r>
              <w:rPr>
                <w:rFonts w:cs="Times New Roman"/>
                <w:kern w:val="0"/>
                <w:lang w:val="ru-RU" w:eastAsia="ru-RU" w:bidi="ar-SA"/>
              </w:rPr>
              <w:t>нтенсивность орошения водой</w:t>
            </w:r>
            <w:r>
              <w:rPr>
                <w:rFonts w:cs="Times New Roman"/>
                <w:kern w:val="0"/>
                <w:lang w:val="en-US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Р= 0,15 МПа (1,5 кгс/см2) - от 0,154… </w:t>
            </w:r>
            <w:r>
              <w:rPr>
                <w:rFonts w:cs="Times New Roman"/>
                <w:kern w:val="0"/>
                <w:lang w:val="en-US" w:eastAsia="ru-RU" w:bidi="ar-SA"/>
              </w:rPr>
              <w:t>0,162 л/(с∙м²);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Р= 0,3 МПа (3,0 кгс/см2) - от 0,23… </w:t>
            </w:r>
            <w:r>
              <w:rPr>
                <w:rFonts w:cs="Times New Roman"/>
                <w:kern w:val="0"/>
                <w:lang w:val="en-US" w:eastAsia="ru-RU" w:bidi="ar-SA"/>
              </w:rPr>
              <w:t>0,25 л/(с∙м²).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Площадь, защищаемая одним оросителем, при наименьшем давлении 0,15 МПа (1,5 кгс/см2), не менее на высоте 2,5 метра – 12 м2;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Коэффициент производительности - 0,77;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Коэффициент равномерности орошения в диапазоне - от 0,34… 0,40.</w:t>
            </w:r>
          </w:p>
        </w:tc>
        <w:tc>
          <w:tcPr>
            <w:tcW w:w="26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6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8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Воткинский филиал АО «Гидроремонт-ВКК» ПУ в г. Пермь 614030, Пермский край, г. Пермь, территория филиала ПАО «РусГидро» - «Камская ГЭС».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дни: понедельник - четверг с 08-30 до 11-00 и с 13-00 до 16-00, пятница с 08-30 до 11-00 и с 13-00 до 15-00 по местному времени.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таре и упаковке</w:t>
            </w:r>
          </w:p>
        </w:tc>
        <w:tc>
          <w:tcPr>
            <w:tcW w:w="6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6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64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Сертификат соответствия;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Паспорт;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Инструкция по монтажу;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203" w:hanging="2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доставка, для оформления пропуска на территорию предоставляется не позднее 10-00  рабочего дня, предшествующего дню поставки.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6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продукции каждой номенклатурной позиции, должен соответствовать (принадлежать) одной производимой партии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6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3.Требования к документации по ценообразованию на этапе закупки.</w:t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spacing w:lineRule="auto" w:line="276" w:before="0" w:after="200"/>
        <w:contextualSpacing/>
        <w:rPr>
          <w:lang w:eastAsia="en-US"/>
        </w:rPr>
      </w:pPr>
      <w:r>
        <w:rPr>
          <w:lang w:eastAsia="en-US"/>
        </w:rPr>
        <w:t>3.2.</w:t>
        <w:tab/>
        <w:t>Дополнительные документы по ценообразованию в состав заявки не включаются.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0"/>
    <w:lvlOverride w:ilvl="0">
      <w:startOverride w:val="1"/>
    </w:lvlOverride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63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numPr>
        <w:ilvl w:val="2"/>
        <w:numId w:val="3"/>
      </w:numPr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Arial" w:cstheme="minorBidi" w:eastAsiaTheme="minorHAnsi"/>
      <w:sz w:val="22"/>
      <w:szCs w:val="21"/>
      <w:lang w:eastAsia="en-US"/>
    </w:rPr>
  </w:style>
  <w:style w:type="character" w:styleId="Style15" w:customStyle="1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eastAsia="MS Mincho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Arial" w:cstheme="minorBidi" w:eastAsiaTheme="minorHAnsi"/>
      <w:sz w:val="22"/>
      <w:szCs w:val="21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8AA67-53F3-4396-A39D-97139092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AlterOffice/3.4.0.9$Linux_X86_64 LibreOffice_project/b8daf9e823b1a5463a2f48435ddc2e8696e7d4fc</Application>
  <AppVersion>15.0000</AppVersion>
  <Pages>8</Pages>
  <Words>807</Words>
  <Characters>5332</Characters>
  <CharactersWithSpaces>5994</CharactersWithSpaces>
  <Paragraphs>141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2026-05-06T12:18:00Z</dcterms:created>
  <dc:creator>Быстров Олег Геннадьевич</dc:creator>
  <dc:description/>
  <dc:language>ru-RU</dc:language>
  <cp:lastModifiedBy>Устинов Роман Вячеславович</cp:lastModifiedBy>
  <cp:lastPrinted>2023-01-14T04:55:00Z</cp:lastPrinted>
  <dcterms:modified xsi:type="dcterms:W3CDTF">2026-05-06T12:18:00Z</dcterms:modified>
  <cp:revision>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