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3009BB">
      <w:pPr>
        <w:widowControl w:val="0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7552BF" w:rsidRDefault="007552BF">
      <w:pPr>
        <w:widowControl w:val="0"/>
        <w:ind w:left="360" w:hanging="360"/>
        <w:jc w:val="center"/>
        <w:rPr>
          <w:b/>
        </w:rPr>
      </w:pPr>
    </w:p>
    <w:p w:rsidR="007552BF" w:rsidRDefault="003009BB">
      <w:pPr>
        <w:pStyle w:val="2"/>
        <w:spacing w:line="345" w:lineRule="atLeast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 xml:space="preserve">«ОКПД2 [27.90.70.000] Поставка устройств электрической сигнализации </w:t>
      </w:r>
      <w:r>
        <w:rPr>
          <w:rFonts w:eastAsia="Calibri"/>
          <w:b/>
          <w:sz w:val="24"/>
          <w:szCs w:val="24"/>
          <w:lang w:val="ru-RU"/>
        </w:rPr>
        <w:t>для нужд Производственного участка в г. Рыбинск</w:t>
      </w:r>
      <w:r>
        <w:rPr>
          <w:rFonts w:eastAsia="Calibri"/>
          <w:b/>
          <w:i/>
          <w:sz w:val="24"/>
          <w:szCs w:val="24"/>
          <w:lang w:val="ru-RU"/>
        </w:rPr>
        <w:t>»</w:t>
      </w:r>
    </w:p>
    <w:p w:rsidR="007552BF" w:rsidRDefault="003009BB">
      <w:pPr>
        <w:widowControl w:val="0"/>
        <w:ind w:left="360" w:hanging="360"/>
        <w:jc w:val="center"/>
        <w:rPr>
          <w:b/>
        </w:rPr>
      </w:pPr>
      <w:r>
        <w:rPr>
          <w:rFonts w:eastAsia="Calibri"/>
          <w:b/>
        </w:rPr>
        <w:t xml:space="preserve">Лот №____-РЕМ </w:t>
      </w:r>
      <w:r>
        <w:rPr>
          <w:rFonts w:eastAsia="Calibri"/>
          <w:b/>
        </w:rPr>
        <w:t>ДОХ-2026-ГРВКК-ЖигФ</w:t>
      </w: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7552BF">
      <w:pPr>
        <w:widowControl w:val="0"/>
        <w:jc w:val="center"/>
        <w:rPr>
          <w:b/>
        </w:rPr>
      </w:pPr>
    </w:p>
    <w:p w:rsidR="007552BF" w:rsidRDefault="003009BB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 w:rsidR="007552BF" w:rsidRDefault="007552BF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7552BF" w:rsidRDefault="003009BB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7552BF" w:rsidRDefault="003009BB">
      <w:pPr>
        <w:widowControl w:val="0"/>
      </w:pPr>
      <w:r>
        <w:t>«</w:t>
      </w:r>
      <w:r>
        <w:rPr>
          <w:rFonts w:eastAsia="Calibri"/>
        </w:rPr>
        <w:t xml:space="preserve">ОКПД2 [27.90.70.000] </w:t>
      </w:r>
      <w:r>
        <w:t xml:space="preserve">Поставка </w:t>
      </w:r>
      <w:r>
        <w:rPr>
          <w:rFonts w:eastAsia="Calibri"/>
        </w:rPr>
        <w:t xml:space="preserve">устройств электрической сигнализации </w:t>
      </w:r>
      <w:r>
        <w:rPr>
          <w:rFonts w:eastAsia="Calibri"/>
        </w:rPr>
        <w:t xml:space="preserve">для нужд Производственного участка в г. Рыбинск </w:t>
      </w:r>
      <w:r>
        <w:t>(далее – Продукция)».</w:t>
      </w:r>
    </w:p>
    <w:p w:rsidR="007552BF" w:rsidRDefault="007552BF">
      <w:pPr>
        <w:widowControl w:val="0"/>
        <w:rPr>
          <w:b/>
        </w:rPr>
      </w:pPr>
    </w:p>
    <w:p w:rsidR="007552BF" w:rsidRDefault="003009BB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7552BF" w:rsidRDefault="003009BB">
      <w:pPr>
        <w:pStyle w:val="afa"/>
        <w:widowControl w:val="0"/>
        <w:spacing w:beforeAutospacing="0" w:afterAutospacing="0"/>
        <w:ind w:right="-1"/>
        <w:jc w:val="both"/>
        <w:rPr>
          <w:bCs/>
        </w:rPr>
      </w:pPr>
      <w:r>
        <w:rPr>
          <w:bCs/>
          <w:lang w:eastAsia="x-none"/>
        </w:rPr>
        <w:t xml:space="preserve">Продукция предназначена для исполнения договора подряда </w:t>
      </w:r>
      <w:r>
        <w:t xml:space="preserve">№ </w:t>
      </w:r>
      <w:r>
        <w:rPr>
          <w:lang w:eastAsia="x-none"/>
        </w:rPr>
        <w:t>1200-205-2022 от 03.11.2023г. «Капитальный и текущий ремонт оборудования, зданий, соор</w:t>
      </w:r>
      <w:r>
        <w:rPr>
          <w:lang w:eastAsia="x-none"/>
        </w:rPr>
        <w:t>ужений филиала ПАО «РусГидро»-«Каскад Верхневолжских ГЭС», заключенных между АО «Гидроремонт-ВКК» и ПАО «РусГидро».</w:t>
      </w:r>
    </w:p>
    <w:p w:rsidR="007552BF" w:rsidRDefault="003009BB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</w:t>
      </w:r>
    </w:p>
    <w:p w:rsidR="007552BF" w:rsidRDefault="007552BF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7552BF" w:rsidRDefault="003009BB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7552BF" w:rsidRDefault="007552BF">
      <w:pPr>
        <w:widowControl w:val="0"/>
        <w:ind w:left="709"/>
        <w:rPr>
          <w:b/>
        </w:rPr>
      </w:pPr>
    </w:p>
    <w:p w:rsidR="007552BF" w:rsidRDefault="003009BB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7552BF" w:rsidRDefault="003009BB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1.1. Перечень и об</w:t>
      </w:r>
      <w:r>
        <w:rPr>
          <w:rFonts w:ascii="Times New Roman" w:hAnsi="Times New Roman"/>
          <w:sz w:val="24"/>
          <w:szCs w:val="24"/>
        </w:rPr>
        <w:t>ъем закупаемой продукции</w:t>
      </w:r>
    </w:p>
    <w:tbl>
      <w:tblPr>
        <w:tblW w:w="103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5098"/>
        <w:gridCol w:w="1833"/>
        <w:gridCol w:w="1417"/>
        <w:gridCol w:w="1287"/>
      </w:tblGrid>
      <w:tr w:rsidR="007552BF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</w:pPr>
            <w:r>
              <w:rPr>
                <w:rFonts w:eastAsia="Calibri"/>
              </w:rPr>
              <w:t>№</w:t>
            </w:r>
          </w:p>
          <w:p w:rsidR="007552BF" w:rsidRDefault="003009BB">
            <w:pPr>
              <w:widowControl w:val="0"/>
              <w:jc w:val="center"/>
            </w:pPr>
            <w:r>
              <w:rPr>
                <w:rFonts w:eastAsia="Calibri"/>
              </w:rPr>
              <w:t>п/п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</w:pPr>
            <w:r>
              <w:rPr>
                <w:rFonts w:eastAsia="Calibri"/>
              </w:rPr>
              <w:t>Наименование продукции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</w:t>
            </w:r>
            <w:r>
              <w:t xml:space="preserve">од </w:t>
            </w:r>
            <w:r>
              <w:rPr>
                <w:lang w:val="en-US"/>
              </w:rPr>
              <w:t>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</w:pPr>
            <w:r>
              <w:rPr>
                <w:rFonts w:eastAsia="Calibri"/>
              </w:rPr>
              <w:t>Единица  измерения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</w:pPr>
            <w:r>
              <w:rPr>
                <w:rFonts w:eastAsia="Calibri"/>
              </w:rPr>
              <w:t>Количество</w:t>
            </w:r>
          </w:p>
        </w:tc>
      </w:tr>
      <w:tr w:rsidR="007552BF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2BF" w:rsidRDefault="003009B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2BF" w:rsidRDefault="003009B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2BF" w:rsidRDefault="003009B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2BF" w:rsidRDefault="003009B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2BF" w:rsidRDefault="003009BB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7552BF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2BF" w:rsidRDefault="003009BB">
            <w:pPr>
              <w:widowControl w:val="0"/>
              <w:rPr>
                <w:rFonts w:eastAsia="Calibri"/>
                <w:vertAlign w:val="superscript"/>
              </w:rPr>
            </w:pPr>
            <w:r>
              <w:t>Мобильный складной реверсивный светофор с возможностью проводного и дистанционного удаленного переключения сигнала (комплект)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>27.90.70.000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комплект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</w:pPr>
            <w:r>
              <w:t>1</w:t>
            </w:r>
          </w:p>
        </w:tc>
      </w:tr>
      <w:tr w:rsidR="007552BF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2BF" w:rsidRDefault="003009BB">
            <w:pPr>
              <w:widowControl w:val="0"/>
              <w:rPr>
                <w:rFonts w:eastAsia="Calibri"/>
              </w:rPr>
            </w:pPr>
            <w:r>
              <w:t>Огонь заградительный с красным фильтром СКБ-1487 (комплект)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27.90.70.000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комплект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</w:pPr>
            <w:r>
              <w:t>1</w:t>
            </w:r>
          </w:p>
          <w:p w:rsidR="007552BF" w:rsidRDefault="007552BF">
            <w:pPr>
              <w:widowControl w:val="0"/>
              <w:jc w:val="center"/>
            </w:pPr>
          </w:p>
        </w:tc>
      </w:tr>
      <w:tr w:rsidR="007552BF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2BF" w:rsidRDefault="003009BB">
            <w:pPr>
              <w:widowControl w:val="0"/>
              <w:rPr>
                <w:rFonts w:eastAsia="Calibri"/>
              </w:rPr>
            </w:pPr>
            <w:r>
              <w:t>Знак дорожный с автономным импульсным индикатором "КОМПО-СИГНАЛ-3Д" (комплект)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27.90.70.000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комплект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</w:pPr>
            <w:r>
              <w:t>2</w:t>
            </w:r>
          </w:p>
        </w:tc>
      </w:tr>
    </w:tbl>
    <w:p w:rsidR="007552BF" w:rsidRDefault="007552BF">
      <w:pPr>
        <w:widowControl w:val="0"/>
        <w:jc w:val="both"/>
        <w:rPr>
          <w:b/>
        </w:rPr>
      </w:pPr>
    </w:p>
    <w:p w:rsidR="007552BF" w:rsidRDefault="003009BB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7552BF" w:rsidRDefault="003009BB">
      <w:pPr>
        <w:widowControl w:val="0"/>
        <w:spacing w:line="360" w:lineRule="auto"/>
      </w:pPr>
      <w:r>
        <w:t xml:space="preserve">Таблица </w:t>
      </w:r>
      <w:r>
        <w:t>2.1. Требования по срокам поставки продукции.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667"/>
        <w:gridCol w:w="5284"/>
        <w:gridCol w:w="1843"/>
        <w:gridCol w:w="2549"/>
      </w:tblGrid>
      <w:tr w:rsidR="007552BF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3009BB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7552BF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2BF" w:rsidRDefault="003009BB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2BF" w:rsidRDefault="003009BB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7552BF">
        <w:trPr>
          <w:trHeight w:val="5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 w:rsidP="003009BB">
            <w:pPr>
              <w:widowControl w:val="0"/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ОКПД2 [27.90.70.000] </w:t>
            </w:r>
            <w:r>
              <w:t xml:space="preserve">Поставка </w:t>
            </w:r>
            <w:r>
              <w:rPr>
                <w:rFonts w:eastAsia="Calibri"/>
              </w:rPr>
              <w:t xml:space="preserve">устройств электрической </w:t>
            </w:r>
            <w:r>
              <w:rPr>
                <w:rFonts w:eastAsia="Calibri"/>
              </w:rPr>
              <w:t xml:space="preserve">сигнализации </w:t>
            </w:r>
            <w:r>
              <w:rPr>
                <w:rFonts w:eastAsia="Calibri"/>
              </w:rPr>
              <w:t>для нужд Производственного участка в г. Рыбинск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</w:pPr>
            <w:r>
              <w:t>с</w:t>
            </w:r>
            <w:r>
              <w:t xml:space="preserve"> даты подпи-сания договора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</w:pPr>
            <w:r>
              <w:t>В течение 20 рабочих дней с даты подписания договора</w:t>
            </w:r>
          </w:p>
          <w:p w:rsidR="007552BF" w:rsidRDefault="007552BF">
            <w:pPr>
              <w:widowControl w:val="0"/>
            </w:pPr>
          </w:p>
        </w:tc>
      </w:tr>
    </w:tbl>
    <w:p w:rsidR="007552BF" w:rsidRDefault="003009BB">
      <w:pPr>
        <w:rPr>
          <w:rFonts w:eastAsia="Calibri"/>
          <w:lang w:eastAsia="x-none"/>
        </w:rPr>
      </w:pPr>
      <w:r>
        <w:rPr>
          <w:rFonts w:eastAsia="Calibri"/>
          <w:lang w:eastAsia="x-none"/>
        </w:rPr>
        <w:t>Поставка осуществляется одной партией.</w:t>
      </w:r>
    </w:p>
    <w:p w:rsidR="007552BF" w:rsidRDefault="007552BF">
      <w:pPr>
        <w:widowControl w:val="0"/>
        <w:jc w:val="both"/>
        <w:outlineLvl w:val="0"/>
      </w:pPr>
    </w:p>
    <w:p w:rsidR="007552BF" w:rsidRDefault="007552BF">
      <w:pPr>
        <w:widowControl w:val="0"/>
        <w:spacing w:after="200" w:line="276" w:lineRule="auto"/>
        <w:rPr>
          <w:b/>
        </w:rPr>
      </w:pPr>
    </w:p>
    <w:p w:rsidR="007552BF" w:rsidRDefault="007552BF">
      <w:pPr>
        <w:widowControl w:val="0"/>
        <w:spacing w:after="200" w:line="276" w:lineRule="auto"/>
        <w:rPr>
          <w:b/>
        </w:rPr>
      </w:pPr>
    </w:p>
    <w:p w:rsidR="007552BF" w:rsidRDefault="003009BB">
      <w:pPr>
        <w:widowControl w:val="0"/>
        <w:spacing w:after="200" w:line="276" w:lineRule="auto"/>
        <w:rPr>
          <w:b/>
        </w:rPr>
      </w:pPr>
      <w:bookmarkStart w:id="1" w:name="_Toc75446582"/>
      <w:r>
        <w:rPr>
          <w:b/>
        </w:rPr>
        <w:t xml:space="preserve">2.2. Требования </w:t>
      </w:r>
      <w:r>
        <w:rPr>
          <w:b/>
        </w:rPr>
        <w:t xml:space="preserve">к качеству продукции </w:t>
      </w:r>
      <w:bookmarkEnd w:id="1"/>
    </w:p>
    <w:p w:rsidR="007552BF" w:rsidRDefault="003009BB">
      <w:pPr>
        <w:widowControl w:val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3. Требования к продукции</w:t>
      </w:r>
    </w:p>
    <w:p w:rsidR="007552BF" w:rsidRDefault="003009BB">
      <w:pPr>
        <w:widowControl w:val="0"/>
        <w:contextualSpacing/>
      </w:pPr>
      <w:r>
        <w:rPr>
          <w:bCs/>
        </w:rPr>
        <w:t xml:space="preserve">Наименование продукции: </w:t>
      </w:r>
      <w:r>
        <w:t>ОКПД2 [</w:t>
      </w:r>
      <w:r>
        <w:rPr>
          <w:rFonts w:eastAsia="Calibri"/>
        </w:rPr>
        <w:t>27.90.70.000</w:t>
      </w:r>
      <w:r>
        <w:t xml:space="preserve">] Поставка </w:t>
      </w:r>
      <w:r>
        <w:rPr>
          <w:rFonts w:eastAsia="Calibri"/>
        </w:rPr>
        <w:t xml:space="preserve">устройств электрической сигнализации </w:t>
      </w:r>
      <w:bookmarkStart w:id="2" w:name="_GoBack"/>
      <w:bookmarkEnd w:id="2"/>
      <w:r>
        <w:t xml:space="preserve">для </w:t>
      </w:r>
      <w:r>
        <w:lastRenderedPageBreak/>
        <w:t>нужд Производственного участка в г. Рыбинск.</w:t>
      </w:r>
    </w:p>
    <w:p w:rsidR="007552BF" w:rsidRDefault="007552BF">
      <w:pPr>
        <w:sectPr w:rsidR="007552BF">
          <w:footerReference w:type="default" r:id="rId8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</w:p>
    <w:tbl>
      <w:tblPr>
        <w:tblW w:w="10221" w:type="dxa"/>
        <w:tblLayout w:type="fixed"/>
        <w:tblLook w:val="04A0" w:firstRow="1" w:lastRow="0" w:firstColumn="1" w:lastColumn="0" w:noHBand="0" w:noVBand="1"/>
      </w:tblPr>
      <w:tblGrid>
        <w:gridCol w:w="901"/>
        <w:gridCol w:w="2071"/>
        <w:gridCol w:w="1132"/>
        <w:gridCol w:w="3121"/>
        <w:gridCol w:w="2693"/>
        <w:gridCol w:w="303"/>
      </w:tblGrid>
      <w:tr w:rsidR="007552BF">
        <w:trPr>
          <w:trHeight w:val="276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lastRenderedPageBreak/>
              <w:t xml:space="preserve">№ </w:t>
            </w: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продукции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  <w:tc>
          <w:tcPr>
            <w:tcW w:w="3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552BF">
        <w:trPr>
          <w:trHeight w:val="27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552BF">
        <w:trPr>
          <w:trHeight w:val="22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DotumChe"/>
                <w:b/>
                <w:lang w:eastAsia="en-US"/>
              </w:rPr>
              <w:t>3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DotumChe"/>
                <w:b/>
                <w:lang w:eastAsia="en-US"/>
              </w:rPr>
            </w:pPr>
            <w:r>
              <w:rPr>
                <w:rFonts w:eastAsia="DotumChe"/>
                <w:b/>
                <w:lang w:eastAsia="en-US"/>
              </w:rPr>
              <w:t>4</w:t>
            </w:r>
          </w:p>
        </w:tc>
      </w:tr>
      <w:tr w:rsidR="007552BF">
        <w:trPr>
          <w:trHeight w:val="23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  <w:rPr>
                <w:rFonts w:eastAsia="DotumChe"/>
                <w:b/>
                <w:lang w:eastAsia="en-US"/>
              </w:rPr>
            </w:pPr>
            <w:r>
              <w:rPr>
                <w:rFonts w:eastAsia="DotumChe"/>
                <w:b/>
                <w:lang w:eastAsia="en-US"/>
              </w:rPr>
              <w:t>1.</w:t>
            </w:r>
          </w:p>
        </w:tc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rPr>
                <w:rFonts w:eastAsia="DotumChe"/>
                <w:b/>
                <w:lang w:eastAsia="en-US"/>
              </w:rPr>
            </w:pPr>
            <w:r>
              <w:rPr>
                <w:rFonts w:eastAsia="DotumChe"/>
                <w:b/>
                <w:lang w:eastAsia="en-US"/>
              </w:rPr>
              <w:t xml:space="preserve">Требования к техническим и </w:t>
            </w:r>
            <w:r>
              <w:rPr>
                <w:rFonts w:eastAsia="DotumChe"/>
                <w:b/>
                <w:lang w:eastAsia="en-US"/>
              </w:rPr>
              <w:t>функциональным характеристикам (включая гарантируемые показатели)</w:t>
            </w:r>
          </w:p>
        </w:tc>
      </w:tr>
      <w:tr w:rsidR="007552BF">
        <w:trPr>
          <w:trHeight w:val="336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</w:pPr>
            <w:r>
              <w:t>Мобильный складной реверсивный светофор с возможностью проводного и дистанционного удаленного переключения сигнала (комплект)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Комплект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rPr>
                <w:color w:val="000000"/>
              </w:rPr>
            </w:pPr>
            <w:r w:rsidRPr="003009BB">
              <w:rPr>
                <w:bCs/>
                <w:color w:val="000000"/>
              </w:rPr>
              <w:t xml:space="preserve">1. </w:t>
            </w:r>
            <w:r>
              <w:rPr>
                <w:bCs/>
                <w:color w:val="000000"/>
              </w:rPr>
              <w:t>светофор</w:t>
            </w:r>
            <w:r w:rsidRPr="003009BB">
              <w:rPr>
                <w:bCs/>
                <w:color w:val="000000"/>
              </w:rPr>
              <w:t xml:space="preserve"> – 2шт;</w:t>
            </w:r>
          </w:p>
          <w:p w:rsidR="007552BF" w:rsidRDefault="003009BB">
            <w:pPr>
              <w:widowControl w:val="0"/>
              <w:rPr>
                <w:color w:val="000000"/>
              </w:rPr>
            </w:pPr>
            <w:r w:rsidRPr="003009BB">
              <w:rPr>
                <w:bCs/>
                <w:color w:val="000000"/>
              </w:rPr>
              <w:t>2. питающий кабель – 740 м/п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Количество секций светофора, шт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 (красный и зеленый цвета)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Управление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автоматическое/ручное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Синхронизация светофоров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по радиосигналу, при потере сигнала по внутренним часам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 xml:space="preserve">Пульт дистанционного управления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проводной/беспроводной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 xml:space="preserve">Высота </w:t>
            </w:r>
            <w:r>
              <w:t>конструкции, м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регулируемая до 3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АКБ емкостью, А/ч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до 100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Зарядное устройство для АБК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7552BF">
            <w:pPr>
              <w:widowControl w:val="0"/>
              <w:jc w:val="center"/>
              <w:rPr>
                <w:bCs/>
              </w:rPr>
            </w:pP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Диапазон рабочих температур, ºС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 -50ºС до +50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 xml:space="preserve">Вид тары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заводская упаковка</w:t>
            </w:r>
          </w:p>
        </w:tc>
      </w:tr>
      <w:tr w:rsidR="007552BF">
        <w:trPr>
          <w:trHeight w:val="336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</w:pPr>
            <w:r>
              <w:t>Огонь заградительный с красным фильтром СКБ-1487 (комплект)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Комплект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 xml:space="preserve">1. </w:t>
            </w:r>
            <w:r>
              <w:t>Огонь заградительный красным фильтром СКБ-1487 - 30 шт;</w:t>
            </w:r>
          </w:p>
          <w:p w:rsidR="007552BF" w:rsidRDefault="003009BB">
            <w:pPr>
              <w:widowControl w:val="0"/>
            </w:pPr>
            <w:r>
              <w:t>2. Трубостойка (g3/4) с фланцевым креплением - 30 шт.;</w:t>
            </w:r>
          </w:p>
          <w:p w:rsidR="007552BF" w:rsidRDefault="003009BB">
            <w:pPr>
              <w:widowControl w:val="0"/>
            </w:pPr>
            <w:r>
              <w:t>3. Прибор автоматизированного контроля и управления АПКУ-30М 220Б – 1 шт.</w:t>
            </w:r>
          </w:p>
          <w:p w:rsidR="007552BF" w:rsidRDefault="003009BB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4.</w:t>
            </w:r>
            <w:r>
              <w:rPr>
                <w:bCs/>
                <w:color w:val="000000"/>
                <w:lang w:val="en-US"/>
              </w:rPr>
              <w:t xml:space="preserve"> питающий кабель – 130 м/п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Интенсивность освещения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низкая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 xml:space="preserve">Максимальная потребляемая мощность, Вт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shd w:val="clear" w:color="auto" w:fill="FFFFFF"/>
              <w:spacing w:before="150" w:after="150"/>
              <w:ind w:left="300"/>
            </w:pPr>
            <w:r>
              <w:t>не более 6</w:t>
            </w:r>
          </w:p>
          <w:p w:rsidR="007552BF" w:rsidRDefault="007552BF">
            <w:pPr>
              <w:widowControl w:val="0"/>
              <w:jc w:val="center"/>
              <w:rPr>
                <w:bCs/>
              </w:rPr>
            </w:pP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Диапазон рабочих температур, ºС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t>от -50ºС до +50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Крепление на трубу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</w:pPr>
            <w:r>
              <w:t>g3/4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Высота трубостойки (g3/4) с фланцевым креплением, м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Не менее 1,5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 xml:space="preserve">Вид тары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заводская упаковка</w:t>
            </w:r>
          </w:p>
        </w:tc>
      </w:tr>
      <w:tr w:rsidR="007552BF">
        <w:trPr>
          <w:trHeight w:val="336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</w:pPr>
            <w:r>
              <w:t xml:space="preserve">Знак дорожный с </w:t>
            </w:r>
            <w:r>
              <w:t>автоном</w:t>
            </w:r>
            <w:r>
              <w:lastRenderedPageBreak/>
              <w:t>ным импульсным индикатором "КОМПО-СИГНАЛ-3Д" (комплект)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Комплект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1. Знак дорожный с автономным импульсным ин</w:t>
            </w:r>
            <w:r>
              <w:lastRenderedPageBreak/>
              <w:t>дикатором "КОМПО-СИГНАЛ-3Д"  – 1 шт.;</w:t>
            </w:r>
          </w:p>
          <w:p w:rsidR="007552BF" w:rsidRDefault="003009BB">
            <w:pPr>
              <w:widowControl w:val="0"/>
            </w:pPr>
            <w:r>
              <w:t>2. Трубостойка  с фланцевым креплением. – 1 шт.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 xml:space="preserve">Световая ндикация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t>дорожный знак</w:t>
            </w:r>
            <w:r>
              <w:rPr>
                <w:bCs/>
              </w:rPr>
              <w:t xml:space="preserve"> «объезд препятствия справа»;</w:t>
            </w:r>
          </w:p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t>дорожный знак</w:t>
            </w:r>
            <w:r>
              <w:rPr>
                <w:bCs/>
              </w:rPr>
              <w:t xml:space="preserve"> «объезд препятствия слева»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Время работы без подзарядки, ч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</w:pPr>
            <w:r>
              <w:t>120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>Диапазон рабочих температур, ºС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</w:pPr>
            <w:r>
              <w:t>от -50ºС до +50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rPr>
                <w:b/>
              </w:rPr>
            </w:pPr>
            <w:r>
              <w:rPr>
                <w:rStyle w:val="af4"/>
                <w:b w:val="0"/>
              </w:rPr>
              <w:t>Два режима работы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t>круглосуточное мигание и только в тёмное время суток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rPr>
                <w:rFonts w:ascii="Arial" w:hAnsi="Arial" w:cs="Arial"/>
              </w:rPr>
            </w:pPr>
            <w:r>
              <w:rPr>
                <w:rStyle w:val="af4"/>
                <w:b w:val="0"/>
              </w:rPr>
              <w:t xml:space="preserve">Возможность </w:t>
            </w:r>
            <w:r>
              <w:rPr>
                <w:rStyle w:val="af4"/>
                <w:b w:val="0"/>
              </w:rPr>
              <w:t>подключения к электросети</w:t>
            </w:r>
            <w:r>
              <w:rPr>
                <w:rStyle w:val="af4"/>
              </w:rPr>
              <w:t xml:space="preserve">  </w:t>
            </w:r>
            <w:r>
              <w:rPr>
                <w:rStyle w:val="af4"/>
                <w:b w:val="0"/>
              </w:rPr>
              <w:t>220 В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</w:pPr>
            <w:r>
              <w:t>да</w:t>
            </w:r>
          </w:p>
          <w:p w:rsidR="007552BF" w:rsidRDefault="007552BF">
            <w:pPr>
              <w:widowControl w:val="0"/>
              <w:jc w:val="center"/>
              <w:rPr>
                <w:bCs/>
              </w:rPr>
            </w:pP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 xml:space="preserve">Исполнение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t>антивандальная, ударопрочная конструкция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 xml:space="preserve">Высота трубостойки  с фланцевым креплением, м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Не менее 3</w:t>
            </w:r>
          </w:p>
        </w:tc>
      </w:tr>
      <w:tr w:rsidR="007552BF">
        <w:trPr>
          <w:trHeight w:val="336"/>
        </w:trPr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7552BF">
            <w:pPr>
              <w:widowControl w:val="0"/>
              <w:jc w:val="center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</w:pPr>
            <w:r>
              <w:t xml:space="preserve">Вид тары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заводская упаковка</w:t>
            </w:r>
          </w:p>
        </w:tc>
      </w:tr>
      <w:tr w:rsidR="007552BF">
        <w:trPr>
          <w:trHeight w:val="458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Требования к доставке, маркировке, упаковке, транспортировке, </w:t>
            </w:r>
            <w:r>
              <w:rPr>
                <w:b/>
                <w:bCs/>
              </w:rPr>
              <w:t>перемещению, условиям хранения, приемке и испытаниям</w:t>
            </w:r>
          </w:p>
        </w:tc>
      </w:tr>
      <w:tr w:rsidR="007552BF">
        <w:trPr>
          <w:trHeight w:val="22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rPr>
                <w:b/>
                <w:bCs/>
              </w:rPr>
            </w:pPr>
            <w:r>
              <w:t>Место поставки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rPr>
                <w:b/>
                <w:bCs/>
              </w:rPr>
            </w:pPr>
            <w:r>
              <w:rPr>
                <w:i/>
              </w:rPr>
              <w:t>152917, РФ, Ярославская обл., г. Рыбинск, ул. Вяземского, д. 31, территория Рыбинской ГЭС</w:t>
            </w:r>
          </w:p>
        </w:tc>
      </w:tr>
      <w:tr w:rsidR="007552BF">
        <w:trPr>
          <w:trHeight w:val="44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rPr>
                <w:b/>
                <w:bCs/>
              </w:rPr>
            </w:pPr>
            <w:r>
              <w:t>Приемка продукции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BF" w:rsidRDefault="003009BB">
            <w:pPr>
              <w:widowControl w:val="0"/>
              <w:rPr>
                <w:b/>
                <w:bCs/>
              </w:rPr>
            </w:pPr>
            <w:r>
              <w:t>Только в рабочие дни с 9-00 до 11-00 и с 14-00 до 16-00</w:t>
            </w:r>
          </w:p>
        </w:tc>
      </w:tr>
      <w:tr w:rsidR="007552BF">
        <w:trPr>
          <w:trHeight w:val="5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Доставка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</w:pPr>
            <w: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</w:tr>
      <w:tr w:rsidR="007552BF">
        <w:trPr>
          <w:trHeight w:val="22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>Подтверждение соответствия, разрешения, лицензии изготовителя</w:t>
            </w:r>
          </w:p>
        </w:tc>
      </w:tr>
      <w:tr w:rsidR="007552BF">
        <w:trPr>
          <w:trHeight w:val="68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rPr>
                <w:b/>
                <w:bCs/>
              </w:rPr>
            </w:pPr>
            <w:r>
              <w:t>Качество и комплектность поставляемой продукции должны соответствовать основным характеристикам и требованиям Покупателя, государственным стандартам (техническим регламентам), техническим условиям и другой нормативно-технической документации (НТД).</w:t>
            </w:r>
          </w:p>
        </w:tc>
      </w:tr>
      <w:tr w:rsidR="007552BF">
        <w:trPr>
          <w:trHeight w:val="22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>Требования к гарантиям, гарантийному и послегарантийному обслуживанию</w:t>
            </w:r>
          </w:p>
        </w:tc>
      </w:tr>
      <w:tr w:rsidR="007552BF">
        <w:trPr>
          <w:trHeight w:val="68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  <w:rPr>
                <w:b/>
                <w:bCs/>
              </w:rPr>
            </w:pPr>
            <w:r>
              <w:t>Срок гарантии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314"/>
              </w:tabs>
              <w:ind w:left="3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обязан установить на продукцию гарантийный срок не менее 12 (двенадцати) месяцев исчисляемый с даты подписания соответствующей товарной накладной по форме Т</w:t>
            </w:r>
            <w:r>
              <w:rPr>
                <w:rFonts w:ascii="Times New Roman" w:hAnsi="Times New Roman"/>
                <w:sz w:val="24"/>
                <w:szCs w:val="24"/>
              </w:rPr>
              <w:t>ОРГ-12, но не менее гарантийного срока изготовителя (производителя) продукции.</w:t>
            </w:r>
          </w:p>
        </w:tc>
      </w:tr>
      <w:tr w:rsidR="007552BF">
        <w:trPr>
          <w:trHeight w:val="22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tabs>
                <w:tab w:val="left" w:pos="314"/>
              </w:tabs>
              <w:ind w:left="360" w:hanging="360"/>
              <w:rPr>
                <w:b/>
              </w:rPr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7552BF">
        <w:trPr>
          <w:trHeight w:val="1378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jc w:val="center"/>
            </w:pPr>
            <w:r>
              <w:t>Документы, передаваемые вместе с продукцией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314"/>
              </w:tabs>
              <w:ind w:left="320"/>
              <w:rPr>
                <w:rFonts w:ascii="Times New Roman" w:hAnsi="Times New Roman"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x-none"/>
              </w:rPr>
              <w:t xml:space="preserve">Поставщик обязан одновременно с передачей продукции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x-none"/>
              </w:rPr>
              <w:t>передать Покупателю относящиеся к нему документы, оформленные надлежащим образом:</w:t>
            </w:r>
          </w:p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314"/>
              </w:tabs>
              <w:ind w:left="320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x-none"/>
              </w:rPr>
              <w:t>сертификат качества; счет-фактуру; товарную накладную унифицированной формы ТОРГ-12(УПД) в 2 экз., транспортную накладную.</w:t>
            </w:r>
          </w:p>
          <w:p w:rsidR="007552BF" w:rsidRDefault="007552B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314"/>
              </w:tabs>
              <w:ind w:left="320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x-none"/>
              </w:rPr>
            </w:pPr>
          </w:p>
        </w:tc>
      </w:tr>
      <w:tr w:rsidR="007552BF">
        <w:trPr>
          <w:trHeight w:val="22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>Прочие (дополнительные) требования к продукции</w:t>
            </w:r>
          </w:p>
        </w:tc>
      </w:tr>
      <w:tr w:rsidR="007552BF">
        <w:trPr>
          <w:trHeight w:val="90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6.1.</w:t>
            </w:r>
          </w:p>
        </w:tc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2BF" w:rsidRDefault="003009BB">
            <w:pPr>
              <w:widowControl w:val="0"/>
              <w:rPr>
                <w:b/>
                <w:bCs/>
              </w:rPr>
            </w:pPr>
            <w: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</w:t>
            </w:r>
            <w:r>
              <w:t>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 w:rsidR="007552BF" w:rsidRDefault="007552BF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</w:p>
    <w:p w:rsidR="007552BF" w:rsidRDefault="007552BF">
      <w:pPr>
        <w:widowControl w:val="0"/>
        <w:spacing w:before="120" w:after="60"/>
        <w:ind w:left="1276" w:hanging="357"/>
        <w:outlineLvl w:val="0"/>
        <w:rPr>
          <w:rFonts w:eastAsia="Calibri"/>
        </w:rPr>
      </w:pPr>
    </w:p>
    <w:sectPr w:rsidR="007552BF">
      <w:type w:val="continuous"/>
      <w:pgSz w:w="11906" w:h="16838"/>
      <w:pgMar w:top="1134" w:right="425" w:bottom="1134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09BB">
      <w:r>
        <w:separator/>
      </w:r>
    </w:p>
  </w:endnote>
  <w:endnote w:type="continuationSeparator" w:id="0">
    <w:p w:rsidR="00000000" w:rsidRDefault="0030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BU">
    <w:panose1 w:val="02010603020201000205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BF" w:rsidRDefault="003009BB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:rsidR="007552BF" w:rsidRDefault="007552BF">
    <w:pPr>
      <w:pStyle w:val="ab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09BB">
      <w:r>
        <w:separator/>
      </w:r>
    </w:p>
  </w:footnote>
  <w:footnote w:type="continuationSeparator" w:id="0">
    <w:p w:rsidR="00000000" w:rsidRDefault="0030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47128"/>
    <w:multiLevelType w:val="multilevel"/>
    <w:tmpl w:val="BAF02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49AB6A77"/>
    <w:multiLevelType w:val="multilevel"/>
    <w:tmpl w:val="4BB25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845054"/>
    <w:multiLevelType w:val="multilevel"/>
    <w:tmpl w:val="D3668B38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BF"/>
    <w:rsid w:val="003009BB"/>
    <w:rsid w:val="007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43D9C-34CB-4CC5-92FD-2B3B8214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608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character" w:styleId="af4">
    <w:name w:val="Strong"/>
    <w:basedOn w:val="a1"/>
    <w:uiPriority w:val="22"/>
    <w:qFormat/>
    <w:rsid w:val="00D66A5B"/>
    <w:rPr>
      <w:b/>
      <w:bCs/>
    </w:rPr>
  </w:style>
  <w:style w:type="paragraph" w:styleId="af5">
    <w:name w:val="Title"/>
    <w:basedOn w:val="a0"/>
    <w:next w:val="af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6">
    <w:name w:val="Body Text"/>
    <w:basedOn w:val="a0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9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styleId="afa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uiPriority w:val="9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b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Default">
    <w:name w:val="Default"/>
    <w:qFormat/>
    <w:rsid w:val="00382385"/>
    <w:rPr>
      <w:rFonts w:ascii="Times New Roman" w:hAnsi="Times New Roman"/>
      <w:color w:val="000000"/>
      <w:sz w:val="24"/>
      <w:szCs w:val="24"/>
    </w:rPr>
  </w:style>
  <w:style w:type="table" w:styleId="afc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3EE9-4EF8-48DD-9DD8-EB295901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</Pages>
  <Words>911</Words>
  <Characters>5193</Characters>
  <Application>Microsoft Office Word</Application>
  <DocSecurity>0</DocSecurity>
  <Lines>43</Lines>
  <Paragraphs>12</Paragraphs>
  <ScaleCrop>false</ScaleCrop>
  <Company>РусГидро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Святова Виктория Юрьевна</cp:lastModifiedBy>
  <cp:revision>99</cp:revision>
  <cp:lastPrinted>2026-04-29T13:32:00Z</cp:lastPrinted>
  <dcterms:created xsi:type="dcterms:W3CDTF">2025-02-11T11:45:00Z</dcterms:created>
  <dcterms:modified xsi:type="dcterms:W3CDTF">2026-05-08T06:03:00Z</dcterms:modified>
  <dc:language>ru-RU</dc:language>
</cp:coreProperties>
</file>