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0" w:after="40"/>
        <w:jc w:val="right"/>
        <w:rPr/>
      </w:pPr>
      <w:r>
        <w:rPr/>
        <w:t>Заместитель Генерального директора</w:t>
      </w:r>
    </w:p>
    <w:p>
      <w:pPr>
        <w:pStyle w:val="Normal"/>
        <w:spacing w:before="40" w:after="40"/>
        <w:jc w:val="right"/>
        <w:rPr/>
      </w:pPr>
      <w:r>
        <w:rPr/>
        <w:t>Главный инженер</w:t>
      </w:r>
    </w:p>
    <w:p>
      <w:pPr>
        <w:pStyle w:val="Normal"/>
        <w:spacing w:before="40" w:after="40"/>
        <w:jc w:val="right"/>
        <w:rPr/>
      </w:pPr>
      <w:r>
        <w:rPr/>
        <w:t>АО «ТК РусГидро»</w:t>
      </w:r>
    </w:p>
    <w:p>
      <w:pPr>
        <w:pStyle w:val="Normal"/>
        <w:spacing w:before="40" w:after="40"/>
        <w:jc w:val="right"/>
        <w:rPr/>
      </w:pPr>
      <w:r>
        <w:rPr/>
        <w:t> </w:t>
      </w:r>
    </w:p>
    <w:p>
      <w:pPr>
        <w:pStyle w:val="Normal"/>
        <w:spacing w:before="40" w:after="40"/>
        <w:jc w:val="right"/>
        <w:rPr/>
      </w:pPr>
      <w:r>
        <w:rPr/>
        <w:t> </w:t>
      </w:r>
      <w:r>
        <w:rPr/>
        <w:t>_____________ Ю.В. Викторов</w:t>
      </w:r>
    </w:p>
    <w:p>
      <w:pPr>
        <w:pStyle w:val="Normal"/>
        <w:spacing w:before="40" w:after="40"/>
        <w:jc w:val="right"/>
        <w:rPr/>
      </w:pPr>
      <w:r>
        <w:rPr/>
        <w:t xml:space="preserve">«____» ________________2026 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Технические требования на поставку 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/>
      </w:pPr>
      <w:r>
        <w:rPr>
          <w:rStyle w:val="Hyperlink"/>
          <w:b/>
          <w:color w:val="000000"/>
          <w:sz w:val="24"/>
          <w:szCs w:val="28"/>
          <w:u w:val="none"/>
        </w:rPr>
        <w:tab/>
        <w:t xml:space="preserve">ОКПД 2: </w:t>
      </w:r>
      <w:r>
        <w:rPr>
          <w:rStyle w:val="Hyperlink"/>
          <w:rFonts w:eastAsia="Times New Roman" w:cs="Times New Roman"/>
          <w:b/>
          <w:color w:val="auto"/>
          <w:kern w:val="0"/>
          <w:sz w:val="24"/>
          <w:szCs w:val="24"/>
          <w:u w:val="none"/>
          <w:lang w:val="ru-RU" w:eastAsia="en-US" w:bidi="ar-SA"/>
        </w:rPr>
        <w:t>30.30.31.131: БАС в составе с беспилотным воздушным судном вертолетного типа с максимальной взлетной массой 1 кг и менее для нужд АО «ТК РусГидро».</w:t>
      </w:r>
    </w:p>
    <w:p>
      <w:pPr>
        <w:pStyle w:val="Normal"/>
        <w:keepNext w:val="true"/>
        <w:keepLines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Лот №</w:t>
      </w:r>
      <w:r>
        <w:rPr>
          <w:b/>
          <w:color w:val="000000"/>
          <w:sz w:val="24"/>
          <w:szCs w:val="28"/>
          <w:u w:val="none"/>
        </w:rPr>
        <w:t>1058-АХР ДОР-2026-ТК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>
          <w:rStyle w:val="Style8"/>
          <w:b/>
          <w:i w:val="false"/>
          <w:i w:val="false"/>
          <w:shd w:fill="auto" w:val="clear"/>
        </w:rPr>
      </w:pPr>
      <w:bookmarkStart w:id="2" w:name="_Toc75446567"/>
      <w:bookmarkStart w:id="3" w:name="_Toc46743505"/>
      <w:r>
        <w:rPr/>
        <w:t>Обозначения и сокращения</w:t>
      </w:r>
      <w:bookmarkEnd w:id="2"/>
      <w:bookmarkEnd w:id="3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eastAsia="Calibri"/>
                <w:i/>
                <w:i/>
                <w:sz w:val="26"/>
                <w:szCs w:val="26"/>
              </w:rPr>
            </w:pPr>
            <w:r>
              <w:rPr>
                <w:rFonts w:eastAsia="Calibri"/>
                <w:i/>
                <w:sz w:val="26"/>
                <w:szCs w:val="26"/>
              </w:rP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Универсальный передаточный документ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4" w:name="_Toc46743506"/>
      <w:bookmarkStart w:id="5" w:name="_Toc75446568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Поставка квадрокоптеров и дополнительного оборудования к ним, для нужд Акционерного Общества «Транспортная компания РусГидро».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lang w:val="ru-RU"/>
        </w:rPr>
      </w:pPr>
      <w:bookmarkStart w:id="6" w:name="_Toc75446569"/>
      <w:bookmarkStart w:id="7" w:name="_Toc46743507"/>
      <w:r>
        <w:rPr/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6"/>
    </w:p>
    <w:p>
      <w:pPr>
        <w:pStyle w:val="Heading4"/>
        <w:numPr>
          <w:ilvl w:val="0"/>
          <w:numId w:val="0"/>
        </w:numPr>
        <w:ind w:left="0" w:hanging="0"/>
        <w:jc w:val="both"/>
        <w:rPr>
          <w:rFonts w:eastAsia="Times New Roman"/>
          <w:b w:val="false"/>
          <w:bCs w:val="false"/>
          <w:lang w:val="ru-RU" w:eastAsia="ru-RU"/>
        </w:rPr>
      </w:pPr>
      <w:bookmarkStart w:id="8" w:name="_Toc46743510"/>
      <w:bookmarkStart w:id="9" w:name="_Toc50125126"/>
      <w:bookmarkEnd w:id="8"/>
      <w:bookmarkEnd w:id="9"/>
      <w:r>
        <w:rPr>
          <w:rFonts w:eastAsia="Times New Roman"/>
          <w:b w:val="false"/>
          <w:bCs w:val="false"/>
          <w:lang w:val="ru-RU" w:eastAsia="ru-RU"/>
        </w:rPr>
        <w:t xml:space="preserve">       </w:t>
      </w:r>
      <w:r>
        <w:rPr>
          <w:rFonts w:eastAsia="Times New Roman"/>
          <w:b w:val="false"/>
          <w:bCs w:val="false"/>
          <w:lang w:val="ru-RU" w:eastAsia="ru-RU"/>
        </w:rPr>
        <w:t>Обеспечение сотрудников АО «ТК РусГидро» квадрокоптерами в связи с  подготовкой и участием в спартакиаде.</w:t>
      </w:r>
    </w:p>
    <w:p>
      <w:pPr>
        <w:pStyle w:val="Heading4"/>
        <w:numPr>
          <w:ilvl w:val="1"/>
          <w:numId w:val="3"/>
        </w:numPr>
        <w:rPr/>
      </w:pPr>
      <w:bookmarkStart w:id="10" w:name="_Toc75446572"/>
      <w:r>
        <w:rPr/>
        <w:t>Иные требования и сведения общего характера</w:t>
      </w:r>
      <w:bookmarkEnd w:id="10"/>
    </w:p>
    <w:p>
      <w:pPr>
        <w:pStyle w:val="ListParagraph"/>
        <w:numPr>
          <w:ilvl w:val="2"/>
          <w:numId w:val="6"/>
        </w:numPr>
        <w:rPr>
          <w:rFonts w:eastAsia="Times New Roman"/>
        </w:rPr>
      </w:pPr>
      <w:r>
        <w:rPr>
          <w:rFonts w:eastAsia="Times New Roman"/>
        </w:rPr>
        <w:t>Продукция должна быть новой, оригинальной (от производителя) или эквивалент продукции, ранее не находившаяся в использовании у Поставщика и (или) третьих лиц, не допускается поставка выставочных образцов.</w:t>
      </w:r>
    </w:p>
    <w:p>
      <w:pPr>
        <w:pStyle w:val="ListParagraph"/>
        <w:numPr>
          <w:ilvl w:val="2"/>
          <w:numId w:val="6"/>
        </w:numPr>
        <w:rPr>
          <w:rFonts w:eastAsia="Times New Roman"/>
        </w:rPr>
      </w:pPr>
      <w:r>
        <w:rPr/>
        <w:t>Гарантийный срок товара равен гарантийному сроку производителя и начинает исчисляться с даты подписания Сторонами Накладной ТОРГ-12 или УПД.</w:t>
      </w:r>
    </w:p>
    <w:p>
      <w:pPr>
        <w:pStyle w:val="ListParagraph"/>
        <w:numPr>
          <w:ilvl w:val="2"/>
          <w:numId w:val="6"/>
        </w:numPr>
        <w:rPr>
          <w:rFonts w:eastAsia="Times New Roman"/>
        </w:rPr>
      </w:pPr>
      <w:r>
        <w:rPr>
          <w:rFonts w:eastAsia="Times New Roman"/>
        </w:rPr>
        <w:t>Поставщик вправе предложить эквивалент к заявленной в настоящем Техническом требовании продукции по позиционно, с указанием марки, модели и технических показателей предлагаемого эквивалента.</w:t>
      </w:r>
    </w:p>
    <w:p>
      <w:pPr>
        <w:pStyle w:val="Heading4"/>
        <w:numPr>
          <w:ilvl w:val="2"/>
          <w:numId w:val="6"/>
        </w:numPr>
        <w:jc w:val="both"/>
        <w:rPr>
          <w:rFonts w:eastAsia="Times New Roman"/>
          <w:b w:val="false"/>
          <w:bCs w:val="false"/>
          <w:lang w:val="ru-RU" w:eastAsia="ru-RU"/>
        </w:rPr>
      </w:pPr>
      <w:r>
        <w:rPr>
          <w:rFonts w:eastAsia="Times New Roman"/>
          <w:b w:val="false"/>
          <w:bCs w:val="false"/>
          <w:lang w:val="ru-RU" w:eastAsia="ru-RU"/>
        </w:rPr>
        <w:t>Технические характеристики предлагаемых эквивалентов не должны быть ниже, чем у марок, указанных Покупателем в настоящих Технических требованиях.</w:t>
      </w:r>
    </w:p>
    <w:p>
      <w:pPr>
        <w:pStyle w:val="ListParagraph"/>
        <w:numPr>
          <w:ilvl w:val="2"/>
          <w:numId w:val="6"/>
        </w:numPr>
        <w:rPr>
          <w:rFonts w:eastAsia="Times New Roman"/>
        </w:rPr>
      </w:pPr>
      <w:r>
        <w:rPr>
          <w:rFonts w:eastAsia="Times New Roman"/>
        </w:rPr>
        <w:t>Поставляемая продукция должна соответствовать требованиям государственных стандартов (технических регламентов), технических условий и других нормативно-технических документов, предъявляемых к данному виду продукции.</w:t>
      </w:r>
    </w:p>
    <w:p>
      <w:pPr>
        <w:pStyle w:val="Heading4"/>
        <w:numPr>
          <w:ilvl w:val="2"/>
          <w:numId w:val="6"/>
        </w:numPr>
        <w:jc w:val="both"/>
        <w:rPr>
          <w:rFonts w:eastAsia="Times New Roman"/>
          <w:b w:val="false"/>
          <w:bCs w:val="false"/>
          <w:lang w:val="ru-RU" w:eastAsia="ru-RU"/>
        </w:rPr>
      </w:pPr>
      <w:r>
        <w:rPr>
          <w:rFonts w:eastAsia="Times New Roman"/>
          <w:b w:val="false"/>
          <w:bCs w:val="false"/>
          <w:lang w:val="ru-RU" w:eastAsia="ru-RU"/>
        </w:rPr>
        <w:t>Товар без сопроводительных документов (товарная накладная, счет фактуры, универсальный передаточный документ, декларация / сертификат соответствия) не принимается, ответственность за его сохранность Покупатель не несет.</w:t>
      </w:r>
    </w:p>
    <w:p>
      <w:pPr>
        <w:pStyle w:val="ListParagraph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1" w:name="_Toc75446573"/>
      <w:bookmarkStart w:id="12" w:name="_Toc51339693"/>
      <w:r>
        <w:rPr>
          <w:iCs/>
        </w:rPr>
        <w:t>Требования к продукции</w:t>
      </w:r>
      <w:bookmarkEnd w:id="11"/>
      <w:bookmarkEnd w:id="12"/>
    </w:p>
    <w:p>
      <w:pPr>
        <w:pStyle w:val="Heading4"/>
        <w:numPr>
          <w:ilvl w:val="1"/>
          <w:numId w:val="3"/>
        </w:numPr>
        <w:rPr/>
      </w:pPr>
      <w:bookmarkStart w:id="13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3"/>
    </w:p>
    <w:p>
      <w:pPr>
        <w:pStyle w:val="Heading3"/>
        <w:numPr>
          <w:ilvl w:val="2"/>
          <w:numId w:val="3"/>
        </w:numPr>
        <w:rPr/>
      </w:pPr>
      <w:bookmarkStart w:id="14" w:name="_Toc75446575"/>
      <w:r>
        <w:rPr>
          <w:lang w:val="ru-RU"/>
        </w:rPr>
        <w:t>Перечень и объем закупаемой продукции</w:t>
      </w:r>
      <w:bookmarkEnd w:id="1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75446576"/>
      <w:bookmarkStart w:id="16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6"/>
      <w:r>
        <w:rPr>
          <w:sz w:val="24"/>
          <w:szCs w:val="24"/>
          <w:lang w:val="ru-RU"/>
        </w:rPr>
        <w:t>и объем закупаемой продукции</w:t>
      </w:r>
      <w:bookmarkEnd w:id="15"/>
    </w:p>
    <w:tbl>
      <w:tblPr>
        <w:tblpPr w:bottomFromText="0" w:horzAnchor="text" w:leftFromText="180" w:rightFromText="180" w:tblpX="103" w:tblpY="1" w:topFromText="0" w:vertAnchor="text"/>
        <w:tblW w:w="1104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6"/>
        <w:gridCol w:w="2442"/>
        <w:gridCol w:w="5550"/>
        <w:gridCol w:w="1255"/>
        <w:gridCol w:w="1242"/>
      </w:tblGrid>
      <w:tr>
        <w:trPr>
          <w:trHeight w:val="828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Кол-во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итого</w:t>
            </w:r>
          </w:p>
        </w:tc>
      </w:tr>
      <w:tr>
        <w:trPr>
          <w:trHeight w:val="1722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Квадрокоптер BetaFPV Air75 1S ELRS 2.4G</w:t>
              <w:br/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или эквивалент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Вес: от 20 г до 30 г</w:t>
            </w:r>
          </w:p>
          <w:p>
            <w:pPr>
              <w:pStyle w:val="Normal"/>
              <w:widowControl w:val="false"/>
              <w:bidi w:val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Время полета: не менее 6 мин.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 шт.</w:t>
            </w:r>
          </w:p>
        </w:tc>
      </w:tr>
      <w:tr>
        <w:trPr>
          <w:trHeight w:val="707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Аккумулятор BetaFPV 550mAh 1S BT2.0</w:t>
              <w:br/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или эквивалент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Материал: литий, пластик, медь</w:t>
              <w:br/>
              <w:t>Номинальное напряжение: 3,8 В</w:t>
              <w:br/>
              <w:t>Ёмкость аккумулятора: не менее 550 mAh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12 шт.</w:t>
            </w:r>
          </w:p>
        </w:tc>
      </w:tr>
      <w:tr>
        <w:trPr>
          <w:trHeight w:val="1560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Зарядное устройство Vifly Whoopstor V3</w:t>
              <w:br/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или эквивалент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Цвет: черный/белый</w:t>
              <w:br/>
              <w:t>Входное напряжение: 220 В/Питание от внешнего источника</w:t>
              <w:br/>
              <w:t>Материал: пластик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 шт.</w:t>
            </w:r>
          </w:p>
        </w:tc>
      </w:tr>
      <w:tr>
        <w:trPr>
          <w:trHeight w:val="707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Пульт управление Boxer Radio Controller (M2) ELRS FCC</w:t>
              <w:br/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или эквивалент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Материал: пластик</w:t>
              <w:br/>
              <w:t>Цвет: черный</w:t>
              <w:br/>
              <w:t>Вес: до 700 г</w:t>
              <w:br/>
              <w:t>Диапазон напряжений питания: 6,6–8,4 В</w:t>
              <w:br/>
              <w:t>Дисплей: ЖК-дисплей не менее 128×64</w:t>
              <w:br/>
              <w:t>Карданный подвес: высокоточный карданный подвес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 шт.</w:t>
            </w:r>
          </w:p>
        </w:tc>
      </w:tr>
      <w:tr>
        <w:trPr>
          <w:trHeight w:val="707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АКБ для аппаратуры управления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Nitecore NL1835 18650 3500mAh 3.6V</w:t>
              <w:br/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или эквивалент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Цвет: черный</w:t>
              <w:br/>
              <w:t>Материал: литий, пластик, медь</w:t>
              <w:br/>
              <w:t>Номинальное напряжение: 3,6 В</w:t>
              <w:br/>
              <w:t>Ёмкость аккумулятора: не менее 3500 mAh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 шт.</w:t>
            </w:r>
          </w:p>
        </w:tc>
      </w:tr>
      <w:tr>
        <w:trPr>
          <w:trHeight w:val="707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Видеоочки SKYZONE SKY04O без АКБ</w:t>
              <w:br/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или эквивалент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Материал: пластик</w:t>
              <w:br/>
              <w:t>Цвет: черный</w:t>
              <w:br/>
              <w:t>Вес: от 200 г до 400 г</w:t>
              <w:br/>
              <w:t>Экран: OLED</w:t>
              <w:br/>
              <w:t>Разрешение экрана: не менее 1920×1080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 шт.</w:t>
            </w:r>
          </w:p>
        </w:tc>
      </w:tr>
      <w:tr>
        <w:trPr>
          <w:trHeight w:val="707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АКБ GNB 2300 mAh 4s XT60 (для очков)</w:t>
              <w:br/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или эквивалент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Цвет: черный или белый</w:t>
              <w:br/>
              <w:t>Материал: литий, пластик, медь</w:t>
              <w:br/>
              <w:t>Номинальное напряжение: 14,8 В</w:t>
              <w:br/>
              <w:t>Ёмкость аккумулятора: не менее 2300 mAh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 шт.</w:t>
            </w:r>
          </w:p>
        </w:tc>
      </w:tr>
      <w:tr>
        <w:trPr>
          <w:trHeight w:val="707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Зарядное устройство ToolkitRC M6DAC</w:t>
              <w:br/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или эквивалент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Цвет: черный/белый</w:t>
              <w:br/>
              <w:t>Входное напряжение: 220 В/Питание от внешнего источника</w:t>
              <w:br/>
              <w:t>Материал: пластик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 шт.</w:t>
            </w:r>
          </w:p>
        </w:tc>
      </w:tr>
      <w:tr>
        <w:trPr>
          <w:trHeight w:val="707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Сумка для АКБ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Цвет: черный/белый</w:t>
              <w:br/>
              <w:t>Количество слотов для АКБ: не менее 2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 шт.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7" w:name="_Toc75446578"/>
      <w:bookmarkStart w:id="18" w:name="_Toc51339696"/>
      <w:r>
        <w:rPr>
          <w:lang w:val="ru-RU"/>
        </w:rPr>
        <w:t xml:space="preserve">Требования </w:t>
      </w:r>
      <w:bookmarkEnd w:id="18"/>
      <w:r>
        <w:rPr>
          <w:lang w:val="ru-RU"/>
        </w:rPr>
        <w:t>к срокам поставки продукции и оказания сопутствующих услуг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jc w:val="both"/>
        <w:rPr>
          <w:b w:val="false"/>
          <w:sz w:val="24"/>
          <w:szCs w:val="24"/>
        </w:rPr>
      </w:pPr>
      <w:bookmarkStart w:id="19" w:name="_Toc50125126_Копия_1"/>
      <w:bookmarkStart w:id="20" w:name="_Toc75446579"/>
      <w:bookmarkStart w:id="21" w:name="_Toc51339697"/>
      <w:bookmarkStart w:id="22" w:name="_Toc50125127"/>
      <w:bookmarkEnd w:id="19"/>
      <w:bookmarkEnd w:id="20"/>
      <w:bookmarkEnd w:id="21"/>
      <w:bookmarkEnd w:id="22"/>
      <w:r>
        <w:rPr>
          <w:b w:val="false"/>
          <w:sz w:val="24"/>
          <w:szCs w:val="24"/>
        </w:rPr>
        <w:t xml:space="preserve">Срок поставки: </w:t>
      </w:r>
      <w:r>
        <w:rPr>
          <w:rFonts w:eastAsia="Calibri" w:cs="Times New Roman"/>
          <w:b w:val="false"/>
          <w:color w:val="auto"/>
          <w:kern w:val="0"/>
          <w:sz w:val="24"/>
          <w:szCs w:val="24"/>
          <w:lang w:val="x-none" w:eastAsia="x-none" w:bidi="ar-SA"/>
        </w:rPr>
        <w:t>Поставка Продукции осуществляется по Заявкам. Отгрузка Товара производится в течение 10 (десяти)  дней с даты получения Заявки. Весь объем Товара должен быть отгружен в адрес Заказчика не позднее 25.05.2026.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bookmarkStart w:id="23" w:name="_Toc46743510_Копия_1"/>
      <w:bookmarkStart w:id="24" w:name="_Toc75446579_Копия_1"/>
      <w:bookmarkStart w:id="25" w:name="_Toc51339697_Копия_1"/>
      <w:bookmarkStart w:id="26" w:name="_Toc50125127_Копия_1"/>
      <w:bookmarkStart w:id="27" w:name="_Toc50125131"/>
      <w:bookmarkStart w:id="28" w:name="_Toc54785622"/>
      <w:bookmarkStart w:id="29" w:name="_Toc46743510_Копия_1"/>
      <w:bookmarkStart w:id="30" w:name="_Toc75446579_Копия_1"/>
      <w:bookmarkStart w:id="31" w:name="_Toc51339697_Копия_1"/>
      <w:bookmarkStart w:id="32" w:name="_Toc50125127_Копия_1"/>
      <w:bookmarkStart w:id="33" w:name="_Toc50125131"/>
      <w:bookmarkStart w:id="34" w:name="_Toc54785622"/>
      <w:bookmarkEnd w:id="29"/>
      <w:bookmarkEnd w:id="30"/>
      <w:bookmarkEnd w:id="31"/>
      <w:bookmarkEnd w:id="32"/>
      <w:bookmarkEnd w:id="33"/>
      <w:bookmarkEnd w:id="34"/>
    </w:p>
    <w:p>
      <w:pPr>
        <w:pStyle w:val="Heading1"/>
        <w:numPr>
          <w:ilvl w:val="0"/>
          <w:numId w:val="3"/>
        </w:numPr>
        <w:ind w:left="284" w:hanging="284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Требования к документации по ценообразованию на этапе закупки</w:t>
      </w:r>
    </w:p>
    <w:p>
      <w:pPr>
        <w:pStyle w:val="Heading4"/>
        <w:numPr>
          <w:ilvl w:val="1"/>
          <w:numId w:val="3"/>
        </w:numPr>
        <w:jc w:val="both"/>
        <w:rPr>
          <w:b w:val="false"/>
        </w:rPr>
      </w:pPr>
      <w:r>
        <w:rPr>
          <w:b w:val="false"/>
        </w:rPr>
        <w:t>Общая цена на поставляемую продукцию остаётся фиксированной на весь срок действия договора и не подлежит изменению;</w:t>
      </w:r>
    </w:p>
    <w:p>
      <w:pPr>
        <w:pStyle w:val="Heading4"/>
        <w:numPr>
          <w:ilvl w:val="1"/>
          <w:numId w:val="3"/>
        </w:numPr>
        <w:jc w:val="both"/>
        <w:rPr>
          <w:b w:val="false"/>
        </w:rPr>
      </w:pPr>
      <w:r>
        <w:rPr>
          <w:b w:val="false"/>
        </w:rPr>
        <w:t>В стоимость продукции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0"/>
        </w:numPr>
        <w:ind w:left="0" w:hanging="0"/>
        <w:jc w:val="center"/>
        <w:rPr>
          <w:lang w:val="ru-RU"/>
        </w:rPr>
      </w:pPr>
      <w:r>
        <w:rPr>
          <w:lang w:val="ru-RU"/>
        </w:rPr>
        <w:t xml:space="preserve">4. </w:t>
      </w:r>
      <w:r>
        <w:rPr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</w:p>
    <w:p>
      <w:pPr>
        <w:pStyle w:val="Normal"/>
        <w:keepNext w:val="true"/>
        <w:spacing w:before="120" w:after="60"/>
        <w:ind w:left="432" w:hanging="432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>
        <w:rPr>
          <w:rFonts w:eastAsia="Calibri"/>
          <w:color w:val="000000"/>
          <w:sz w:val="24"/>
          <w:szCs w:val="24"/>
          <w:lang w:val="x-none" w:eastAsia="x-none"/>
        </w:rPr>
        <w:t>4.1. Оплата по безналичному расчету путем перечисления денежных средств на расчетный счет.</w:t>
      </w:r>
    </w:p>
    <w:p>
      <w:pPr>
        <w:pStyle w:val="Normal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>
        <w:rPr>
          <w:rFonts w:eastAsia="Calibri"/>
          <w:color w:val="000000"/>
          <w:sz w:val="24"/>
          <w:szCs w:val="24"/>
          <w:lang w:val="x-none" w:eastAsia="x-none"/>
        </w:rPr>
        <w:t xml:space="preserve">4.2. Авансовый платеж в размере 30 % от Цены Договора выплачивается в течение </w:t>
      </w:r>
      <w:r>
        <w:rPr>
          <w:rFonts w:eastAsia="Calibri"/>
          <w:color w:val="000000"/>
          <w:sz w:val="24"/>
          <w:szCs w:val="24"/>
          <w:lang w:val="x-none" w:eastAsia="x-none"/>
        </w:rPr>
        <w:t>1</w:t>
      </w:r>
      <w:r>
        <w:rPr>
          <w:rFonts w:eastAsia="Calibri"/>
          <w:color w:val="000000"/>
          <w:sz w:val="24"/>
          <w:szCs w:val="24"/>
          <w:lang w:val="x-none" w:eastAsia="x-none"/>
        </w:rPr>
        <w:t>0 (</w:t>
      </w:r>
      <w:r>
        <w:rPr>
          <w:rFonts w:eastAsia="Calibri"/>
          <w:color w:val="000000"/>
          <w:sz w:val="24"/>
          <w:szCs w:val="24"/>
          <w:lang w:val="x-none" w:eastAsia="x-none"/>
        </w:rPr>
        <w:t>десяти</w:t>
      </w:r>
      <w:r>
        <w:rPr>
          <w:rFonts w:eastAsia="Calibri"/>
          <w:color w:val="000000"/>
          <w:sz w:val="24"/>
          <w:szCs w:val="24"/>
          <w:lang w:val="x-none" w:eastAsia="x-none"/>
        </w:rPr>
        <w:t>) календарных дней с даты подписания Договора и получения Покупателем счета, выставленного Поставщиком.</w:t>
      </w:r>
    </w:p>
    <w:p>
      <w:pPr>
        <w:pStyle w:val="Normal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>
        <w:rPr>
          <w:rFonts w:eastAsia="Calibri"/>
          <w:color w:val="000000"/>
          <w:sz w:val="24"/>
          <w:szCs w:val="24"/>
          <w:lang w:val="x-none" w:eastAsia="x-none"/>
        </w:rPr>
        <w:t>4.3. Оплата Товара по Договору производится Покупателем с учетом выплаченного авансового платежа в течение 7 (семи) рабочих дней с даты подписания акта сдачи-приемки Товара, товарной накладной (ТОРГ-12) или универсального передаточного документа (УПД) на поставленный Товар, на основании счета, выставленного Поставщиком, и с учетом пункта 2.4.3 Договора.</w:t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Составил: </w:t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Ведущий инженер </w:t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АО «ТК РусГидро»                                                                                              Е.С. Азарин </w:t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</w:r>
    </w:p>
    <w:p>
      <w:pPr>
        <w:pStyle w:val="Heading1"/>
        <w:numPr>
          <w:ilvl w:val="0"/>
          <w:numId w:val="0"/>
        </w:numPr>
        <w:ind w:left="0" w:hanging="0"/>
        <w:rPr>
          <w:rFonts w:eastAsia="Times New Roman"/>
          <w:b w:val="false"/>
          <w:sz w:val="26"/>
          <w:szCs w:val="26"/>
          <w:lang w:val="ru-RU"/>
        </w:rPr>
      </w:pPr>
      <w:bookmarkStart w:id="35" w:name="_Toc54643711"/>
      <w:bookmarkStart w:id="36" w:name="_Toc54281228"/>
      <w:bookmarkEnd w:id="35"/>
      <w:bookmarkEnd w:id="36"/>
      <w:r>
        <w:rPr>
          <w:rFonts w:eastAsia="Times New Roman"/>
          <w:b w:val="false"/>
          <w:sz w:val="26"/>
          <w:szCs w:val="26"/>
          <w:lang w:val="ru-RU"/>
        </w:rPr>
        <w:t xml:space="preserve">Проверил: </w:t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Начальник ОМТС</w:t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АО «ТК Ру</w:t>
      </w:r>
      <w:bookmarkStart w:id="37" w:name="_GoBack"/>
      <w:bookmarkEnd w:id="37"/>
      <w:r>
        <w:rPr>
          <w:sz w:val="26"/>
          <w:szCs w:val="26"/>
          <w:lang w:eastAsia="x-none"/>
        </w:rPr>
        <w:t xml:space="preserve">сГидро»                                                                                              Т.В. Назаров </w:t>
      </w:r>
    </w:p>
    <w:p>
      <w:pPr>
        <w:pStyle w:val="Normal"/>
        <w:rPr>
          <w:lang w:eastAsia="x-none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20" w:right="720" w:gutter="0" w:header="680" w:top="737" w:footer="0" w:bottom="72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0"/>
        </w:tabs>
        <w:ind w:left="555" w:hanging="555"/>
      </w:pPr>
      <w:rPr/>
    </w:lvl>
    <w:lvl w:ilvl="1">
      <w:start w:val="4"/>
      <w:numFmt w:val="decimal"/>
      <w:lvlText w:val="%1.%2"/>
      <w:lvlJc w:val="left"/>
      <w:pPr>
        <w:tabs>
          <w:tab w:val="num" w:pos="0"/>
        </w:tabs>
        <w:ind w:left="555" w:hanging="55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fals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236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73F75-CC15-4194-8F30-E73050EC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AlterOffice/3.4.0.9$Linux_X86_64 LibreOffice_project/b8daf9e823b1a5463a2f48435ddc2e8696e7d4fc</Application>
  <AppVersion>15.0000</AppVersion>
  <Pages>5</Pages>
  <Words>711</Words>
  <Characters>4458</Characters>
  <CharactersWithSpaces>5259</CharactersWithSpaces>
  <Paragraphs>98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2023-04-27T06:55:00Z</dcterms:created>
  <dc:creator>Быстров Олег Геннадьевич</dc:creator>
  <dc:description/>
  <dc:language>ru-RU</dc:language>
  <cp:lastModifiedBy>azarines@corp.gidroogk.com</cp:lastModifiedBy>
  <cp:lastPrinted>2026-04-30T11:08:04Z</cp:lastPrinted>
  <dcterms:modified xsi:type="dcterms:W3CDTF">2026-05-13T14:12:04Z</dcterms:modified>
  <cp:revision>12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