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ТМЦ</w:t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Heading1"/>
        <w:spacing w:before="0" w:after="0"/>
        <w:ind w:left="567" w:hanging="0"/>
        <w:jc w:val="center"/>
        <w:rPr>
          <w:b w:val="false"/>
          <w:bCs/>
          <w:lang w:val="ru-RU"/>
        </w:rPr>
      </w:pPr>
      <w:bookmarkStart w:id="0" w:name="_Toc229487743"/>
      <w:bookmarkStart w:id="1" w:name="_Toc139856292"/>
      <w:bookmarkStart w:id="2" w:name="_Toc137554589"/>
      <w:bookmarkStart w:id="3" w:name="_Toc141696709"/>
      <w:r>
        <w:rPr/>
        <w:t>«</w:t>
      </w:r>
      <w:bookmarkEnd w:id="1"/>
      <w:bookmarkEnd w:id="2"/>
      <w:bookmarkEnd w:id="3"/>
      <w:r>
        <w:rPr/>
        <w:t xml:space="preserve">ОКПД2 </w:t>
      </w:r>
      <w:r>
        <w:rPr>
          <w:lang w:val="ru-RU"/>
        </w:rPr>
        <w:t>26.51.66.114</w:t>
      </w:r>
      <w:r>
        <w:rPr/>
        <w:t xml:space="preserve"> Поставка материалов для </w:t>
      </w:r>
      <w:r>
        <w:rPr>
          <w:bCs/>
        </w:rPr>
        <w:t>нужд службы</w:t>
      </w:r>
      <w:r>
        <w:rPr>
          <w:bCs/>
          <w:lang w:val="ru-RU"/>
        </w:rPr>
        <w:t xml:space="preserve"> </w:t>
      </w:r>
      <w:r>
        <w:rPr>
          <w:bCs/>
        </w:rPr>
        <w:t>мониторинга оборудования и гидротехнических сооружений</w:t>
      </w:r>
      <w:r>
        <w:rPr>
          <w:bCs/>
          <w:lang w:val="ru-RU"/>
        </w:rPr>
        <w:t xml:space="preserve"> </w:t>
      </w:r>
      <w:r>
        <w:rPr/>
        <w:t>Филиала ПАО «РусГидро» - «Карачаево-Черкесский филиал».</w:t>
      </w:r>
      <w:bookmarkEnd w:id="0"/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 xml:space="preserve">п. Правокубанский </w:t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>2026 г.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Toc229487743">
            <w:bookmarkStart w:id="4" w:name="_GoBack"/>
            <w:bookmarkEnd w:id="4"/>
            <w:r>
              <w:rPr>
                <w:webHidden/>
                <w:rStyle w:val="Style14"/>
              </w:rPr>
              <w:t>«ОКПД2 26.51.66.114 Поставка материалов для нужд службы мониторинга оборудования и гидротехнических сооружений Филиала ПАО «РусГидро» - «Карачаево-Черкесский филиал».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7744">
            <w:r>
              <w:rPr>
                <w:webHidden/>
                <w:rStyle w:val="Style14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45">
            <w:r>
              <w:rPr>
                <w:webHidden/>
                <w:rStyle w:val="Style14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46">
            <w:r>
              <w:rPr>
                <w:webHidden/>
                <w:rStyle w:val="Style14"/>
                <w:iCs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47">
            <w:r>
              <w:rPr>
                <w:webHidden/>
                <w:rStyle w:val="Style14"/>
                <w:iCs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48">
            <w:r>
              <w:rPr>
                <w:webHidden/>
                <w:rStyle w:val="Style14"/>
                <w:iCs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49">
            <w:r>
              <w:rPr>
                <w:webHidden/>
                <w:rStyle w:val="Style14"/>
                <w:iCs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50">
            <w:r>
              <w:rPr>
                <w:webHidden/>
                <w:rStyle w:val="Style14"/>
                <w:iCs/>
              </w:rPr>
              <w:t>1.6.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7751">
            <w:r>
              <w:rPr>
                <w:webHidden/>
                <w:rStyle w:val="Style14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52">
            <w:r>
              <w:rPr>
                <w:webHidden/>
                <w:rStyle w:val="Style14"/>
                <w:iCs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53">
            <w:r>
              <w:rPr>
                <w:webHidden/>
                <w:rStyle w:val="Style1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7754">
            <w:r>
              <w:rPr>
                <w:webHidden/>
                <w:rStyle w:val="Style14"/>
              </w:rPr>
              <w:t>Таблица 1 Перечень и объем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7755">
            <w:r>
              <w:rPr>
                <w:webHidden/>
                <w:rStyle w:val="Style14"/>
              </w:rPr>
              <w:t>Таблица 2 Перечень и объем закупаемых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56">
            <w:r>
              <w:rPr>
                <w:webHidden/>
                <w:rStyle w:val="Style1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7757">
            <w:r>
              <w:rPr>
                <w:webHidden/>
                <w:rStyle w:val="Style14"/>
              </w:rPr>
              <w:t>Таблица 3 Требования по срокам поставки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9487758">
            <w:r>
              <w:rPr>
                <w:webHidden/>
                <w:rStyle w:val="Style14"/>
              </w:rPr>
              <w:t>Таблица 4 Требования по срокам оказания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59">
            <w:r>
              <w:rPr>
                <w:webHidden/>
                <w:rStyle w:val="Style14"/>
                <w:iCs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60">
            <w:r>
              <w:rPr>
                <w:webHidden/>
                <w:rStyle w:val="Style14"/>
                <w:iCs/>
              </w:rPr>
              <w:t>2.3.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цене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29487761">
            <w:r>
              <w:rPr>
                <w:webHidden/>
                <w:rStyle w:val="Style14"/>
                <w:iCs/>
              </w:rPr>
              <w:t>2.4.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доставке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_Toc229487761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left" w:pos="112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ind w:left="709" w:hanging="0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spacing w:before="0" w:after="0"/>
        <w:ind w:left="709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709" w:hanging="357"/>
        <w:jc w:val="center"/>
        <w:rPr>
          <w:lang w:val="ru-RU"/>
        </w:rPr>
      </w:pPr>
      <w:bookmarkStart w:id="5" w:name="_Toc229487744"/>
      <w:bookmarkStart w:id="6" w:name="_Toc51339692"/>
      <w:r>
        <w:rPr>
          <w:lang w:val="ru-RU"/>
        </w:rPr>
        <w:t>Общие сведения</w:t>
      </w:r>
      <w:bookmarkEnd w:id="5"/>
      <w:bookmarkEnd w:id="6"/>
    </w:p>
    <w:p>
      <w:pPr>
        <w:pStyle w:val="Heading4"/>
        <w:numPr>
          <w:ilvl w:val="1"/>
          <w:numId w:val="3"/>
        </w:numPr>
        <w:spacing w:before="0" w:after="0"/>
        <w:ind w:left="709" w:hanging="432"/>
        <w:rPr/>
      </w:pPr>
      <w:bookmarkStart w:id="7" w:name="_Toc229487745"/>
      <w:bookmarkStart w:id="8" w:name="_Toc46743505"/>
      <w:r>
        <w:rPr/>
        <w:t>Обозначения и сокращения</w:t>
      </w:r>
      <w:bookmarkEnd w:id="7"/>
      <w:bookmarkEnd w:id="8"/>
    </w:p>
    <w:p>
      <w:pPr>
        <w:pStyle w:val="Normal"/>
        <w:ind w:left="709" w:hanging="0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18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trHeight w:val="172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Малая 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Система сертификации продукции в Российской Федерации</w:t>
            </w:r>
          </w:p>
        </w:tc>
      </w:tr>
      <w:tr>
        <w:trPr>
          <w:trHeight w:val="16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Технические условия</w:t>
            </w:r>
          </w:p>
        </w:tc>
      </w:tr>
      <w:tr>
        <w:trPr>
          <w:trHeight w:val="1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полезного действия</w:t>
            </w:r>
          </w:p>
        </w:tc>
      </w:tr>
    </w:tbl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>
          <w:lang w:val="ru-RU"/>
        </w:rPr>
      </w:pPr>
      <w:bookmarkStart w:id="9" w:name="_Toc229487746"/>
      <w:bookmarkStart w:id="10" w:name="_Toc46743506"/>
      <w:r>
        <w:rPr/>
        <w:t>Наименование закупаемой продукции</w:t>
      </w:r>
      <w:bookmarkEnd w:id="10"/>
      <w:r>
        <w:rPr>
          <w:lang w:val="ru-RU"/>
        </w:rPr>
        <w:t>:</w:t>
      </w:r>
      <w:bookmarkEnd w:id="9"/>
    </w:p>
    <w:p>
      <w:pPr>
        <w:pStyle w:val="NoSpacing"/>
        <w:spacing w:lineRule="auto" w:line="240"/>
        <w:ind w:firstLine="709"/>
        <w:rPr/>
      </w:pPr>
      <w:r>
        <w:rPr/>
        <w:t>«Поставка материалов для нужд службы мониторинга оборудования и гидротехнических сооружений Филиала»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/>
      </w:pPr>
      <w:bookmarkStart w:id="11" w:name="_Toc229487747"/>
      <w:bookmarkStart w:id="12" w:name="_Toc46743507"/>
      <w:r>
        <w:rPr/>
        <w:t xml:space="preserve">Цель </w:t>
      </w:r>
      <w:bookmarkEnd w:id="12"/>
      <w:r>
        <w:rPr>
          <w:lang w:val="ru-RU"/>
        </w:rPr>
        <w:t>использования закупаемой продукции:</w:t>
      </w:r>
      <w:bookmarkEnd w:id="11"/>
    </w:p>
    <w:p>
      <w:pPr>
        <w:pStyle w:val="NoSpacing"/>
        <w:spacing w:lineRule="auto" w:line="240"/>
        <w:ind w:firstLine="709"/>
        <w:jc w:val="both"/>
        <w:rPr/>
      </w:pPr>
      <w:bookmarkStart w:id="13" w:name="_Toc46743508"/>
      <w:r>
        <w:rPr>
          <w:bCs/>
          <w:lang w:eastAsia="x-none"/>
        </w:rPr>
        <w:t>Исполнение заявок службы СМО и ГТС Филиала ПАО «РусГидро» - «Карачаево-Черкесский филиал»</w:t>
      </w:r>
      <w:r>
        <w:rPr/>
        <w:t>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>
          <w:rStyle w:val="Style8"/>
          <w:b/>
          <w:lang w:val="ru-RU"/>
        </w:rPr>
      </w:pPr>
      <w:bookmarkStart w:id="14" w:name="_Toc46743508"/>
      <w:bookmarkStart w:id="15" w:name="_Toc229487748"/>
      <w:r>
        <w:rPr/>
        <w:t>Существующее положение</w:t>
      </w:r>
      <w:bookmarkEnd w:id="14"/>
      <w:bookmarkEnd w:id="15"/>
      <w:r>
        <w:rPr>
          <w:lang w:val="ru-RU"/>
        </w:rPr>
        <w:t xml:space="preserve"> </w:t>
      </w:r>
    </w:p>
    <w:p>
      <w:pPr>
        <w:pStyle w:val="BodyText"/>
        <w:tabs>
          <w:tab w:val="clear" w:pos="708"/>
          <w:tab w:val="left" w:pos="1418" w:leader="none"/>
        </w:tabs>
        <w:spacing w:before="0" w:after="0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Настоящие технические требования (далее – ТТ) предполагают, что Участник готовит и предоставляет информацию согласно требований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MS Excel.</w:t>
      </w:r>
    </w:p>
    <w:p>
      <w:pPr>
        <w:pStyle w:val="Normal"/>
        <w:tabs>
          <w:tab w:val="clear" w:pos="708"/>
          <w:tab w:val="left" w:pos="1418" w:leader="none"/>
        </w:tabs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276" w:leader="none"/>
          <w:tab w:val="left" w:pos="1418" w:leader="none"/>
        </w:tabs>
        <w:spacing w:before="0" w:after="0"/>
        <w:ind w:left="0" w:firstLine="709"/>
        <w:jc w:val="both"/>
        <w:rPr>
          <w:lang w:val="ru-RU"/>
        </w:rPr>
      </w:pPr>
      <w:bookmarkStart w:id="16" w:name="_Toc229487749"/>
      <w:bookmarkStart w:id="17" w:name="_Hlk49857604"/>
      <w:bookmarkStart w:id="18" w:name="_Toc46743509"/>
      <w:r>
        <w:rPr/>
        <w:t xml:space="preserve">Информация в отношении исполнения договора, </w:t>
      </w:r>
      <w:bookmarkStart w:id="19" w:name="_Hlk46492347"/>
      <w:r>
        <w:rPr/>
        <w:t xml:space="preserve">которая должна быть учтена при подготовке заявки </w:t>
      </w:r>
      <w:bookmarkEnd w:id="1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7"/>
      <w:bookmarkEnd w:id="18"/>
      <w:r>
        <w:rPr>
          <w:lang w:val="ru-RU"/>
        </w:rPr>
        <w:t>:</w:t>
      </w:r>
      <w:bookmarkEnd w:id="16"/>
    </w:p>
    <w:p>
      <w:pPr>
        <w:pStyle w:val="Normal"/>
        <w:tabs>
          <w:tab w:val="clear" w:pos="708"/>
          <w:tab w:val="left" w:pos="1418" w:leader="none"/>
        </w:tabs>
        <w:ind w:firstLine="709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540" w:leader="none"/>
          <w:tab w:val="left" w:pos="1418" w:leader="none"/>
        </w:tabs>
        <w:suppressAutoHyphens w:val="false"/>
        <w:spacing w:before="0" w:after="0"/>
        <w:ind w:left="0" w:hanging="0"/>
        <w:jc w:val="both"/>
        <w:rPr/>
      </w:pPr>
      <w:r>
        <w:rPr/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В своей заявке участник закупочной процедуры обязан указать полную спецификацию предложенной к поставке продукции с указанием полного наименования, марки и модели, а также полную стоимость предлагаемой к поставке продукции, включающую в себя цену предлагаемой продукции, затраты на транспортировку, уплату налогов, таможенных пошлин, сборов и других обязательных платежей, а также срок в течении, которого участник готов осуществить поставку предлагаемой продукции.</w:t>
      </w:r>
    </w:p>
    <w:p>
      <w:pPr>
        <w:pStyle w:val="BodyText"/>
        <w:numPr>
          <w:ilvl w:val="3"/>
          <w:numId w:val="11"/>
        </w:numPr>
        <w:tabs>
          <w:tab w:val="clear" w:pos="708"/>
          <w:tab w:val="left" w:pos="540" w:leader="none"/>
          <w:tab w:val="left" w:pos="1418" w:leader="none"/>
        </w:tabs>
        <w:suppressAutoHyphens w:val="false"/>
        <w:spacing w:before="0" w:after="0"/>
        <w:ind w:lef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/>
      </w:r>
    </w:p>
    <w:p>
      <w:pPr>
        <w:pStyle w:val="ListParagraph"/>
        <w:widowControl w:val="false"/>
        <w:tabs>
          <w:tab w:val="clear" w:pos="708"/>
          <w:tab w:val="left" w:pos="426" w:leader="none"/>
          <w:tab w:val="left" w:pos="1418" w:leader="none"/>
        </w:tabs>
        <w:ind w:left="0" w:firstLine="709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>
          <w:rStyle w:val="Style8"/>
          <w:b/>
          <w:lang w:val="ru-RU"/>
        </w:rPr>
      </w:pPr>
      <w:bookmarkStart w:id="20" w:name="_Toc229487750"/>
      <w:bookmarkStart w:id="21" w:name="_Toc75446572"/>
      <w:bookmarkStart w:id="22" w:name="_Hlk48209761"/>
      <w:bookmarkEnd w:id="22"/>
      <w:r>
        <w:rPr/>
        <w:t>Иные требования и сведения общего характера</w:t>
      </w:r>
      <w:bookmarkEnd w:id="21"/>
      <w:r>
        <w:rPr>
          <w:lang w:val="ru-RU"/>
        </w:rPr>
        <w:t>:</w:t>
      </w:r>
      <w:bookmarkEnd w:id="20"/>
    </w:p>
    <w:p>
      <w:pPr>
        <w:pStyle w:val="ListParagraph"/>
        <w:numPr>
          <w:ilvl w:val="0"/>
          <w:numId w:val="12"/>
        </w:numPr>
        <w:tabs>
          <w:tab w:val="clear" w:pos="708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Продукция должна быть новой и ранее не использованной;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Доставка продукции осуществляется автотранспортом Поставщика, продукция должна быть поставлена в упаковке в соответствии с ГОСТ и ТУ, обеспечивающее сохранность ее во время транспортировки и хранения;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284" w:leader="none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Цена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По результату приемки материала, оборудования на складе Заказчика: оформляется акт входного контроля и передается на склад Заказчика. В случае обнаружении повреждений оборудования оформляется акт дефектации материала, оборудования и отправляется в адрес Подрядчика его силами и за его счет.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418" w:leader="none"/>
        </w:tabs>
        <w:ind w:left="0" w:firstLine="709"/>
        <w:jc w:val="both"/>
        <w:rPr>
          <w:lang w:eastAsia="x-none"/>
        </w:rPr>
      </w:pPr>
      <w:r>
        <w:rPr>
          <w:lang w:eastAsia="x-none"/>
        </w:rPr>
        <w:t>Оплата каждой партии ТМЦ по Договору производится Покупателем в течение 14 (Четырнадцати) календарных дней с даты подписания Товарной накладной ТОРГ-12 на соответствующую партию ТМЦ на основании счета, выставленного Поставщиком.</w:t>
      </w:r>
    </w:p>
    <w:p>
      <w:pPr>
        <w:pStyle w:val="ListParagraph"/>
        <w:tabs>
          <w:tab w:val="clear" w:pos="708"/>
          <w:tab w:val="left" w:pos="1418" w:leader="none"/>
        </w:tabs>
        <w:ind w:left="709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1418" w:leader="none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jc w:val="center"/>
        <w:rPr>
          <w:iCs/>
          <w:caps/>
          <w:lang w:val="ru-RU"/>
        </w:rPr>
      </w:pPr>
      <w:bookmarkStart w:id="23" w:name="_Toc229487751"/>
      <w:bookmarkStart w:id="24" w:name="_Toc51339693"/>
      <w:r>
        <w:rPr>
          <w:iCs/>
        </w:rPr>
        <w:t>Требования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/>
      </w:pPr>
      <w:bookmarkStart w:id="25" w:name="_Toc229487752"/>
      <w:r>
        <w:rPr/>
        <w:t xml:space="preserve">Требования к объемам и срокам </w:t>
      </w:r>
      <w:r>
        <w:rPr>
          <w:lang w:val="ru-RU"/>
        </w:rPr>
        <w:t>поставки.</w:t>
      </w:r>
      <w:bookmarkEnd w:id="25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>
          <w:lang w:val="ru-RU"/>
        </w:rPr>
      </w:pPr>
      <w:bookmarkStart w:id="26" w:name="_Toc229487753"/>
      <w:r>
        <w:rPr>
          <w:lang w:val="ru-RU"/>
        </w:rPr>
        <w:t>Перечень и объем закупаемой продукции.</w:t>
      </w:r>
      <w:bookmarkEnd w:id="26"/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firstLine="709"/>
        <w:jc w:val="center"/>
        <w:rPr>
          <w:rFonts w:eastAsia="Times New Roman"/>
          <w:sz w:val="24"/>
          <w:szCs w:val="24"/>
          <w:lang w:val="ru-RU"/>
        </w:rPr>
      </w:pPr>
      <w:bookmarkStart w:id="27" w:name="_Toc229487754"/>
      <w:bookmarkStart w:id="28" w:name="_Toc51339695"/>
      <w:r>
        <w:rPr>
          <w:rFonts w:eastAsia="Times New Roman"/>
          <w:sz w:val="24"/>
          <w:szCs w:val="24"/>
          <w:lang w:val="ru-RU"/>
        </w:rPr>
        <w:t xml:space="preserve">Таблица 1 Перечень </w:t>
      </w:r>
      <w:bookmarkEnd w:id="28"/>
      <w:r>
        <w:rPr>
          <w:rFonts w:eastAsia="Times New Roman"/>
          <w:sz w:val="24"/>
          <w:szCs w:val="24"/>
          <w:lang w:val="ru-RU"/>
        </w:rPr>
        <w:t>и объем закупаемой продукции:</w:t>
      </w:r>
      <w:bookmarkEnd w:id="27"/>
    </w:p>
    <w:tbl>
      <w:tblPr>
        <w:tblW w:w="99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7"/>
        <w:gridCol w:w="6271"/>
        <w:gridCol w:w="1416"/>
        <w:gridCol w:w="1418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73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rPr/>
            </w:pPr>
            <w:r>
              <w:rPr/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Маяк серии ЗИ-2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>
        <w:trPr>
          <w:trHeight w:val="173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rPr/>
            </w:pPr>
            <w:r>
              <w:rPr/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Маяк серии ЗИ-2у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16"/>
          <w:szCs w:val="16"/>
          <w:shd w:fill="FFFF99" w:val="clear"/>
        </w:rPr>
      </w:pPr>
      <w:r>
        <w:rPr>
          <w:bCs/>
          <w:i/>
          <w:sz w:val="16"/>
          <w:szCs w:val="16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16"/>
          <w:szCs w:val="16"/>
          <w:shd w:fill="FFFF99" w:val="clear"/>
        </w:rPr>
      </w:pPr>
      <w:r>
        <w:rPr>
          <w:bCs/>
          <w:i/>
          <w:sz w:val="16"/>
          <w:szCs w:val="16"/>
          <w:shd w:fill="FFFF99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709" w:hanging="0"/>
        <w:jc w:val="center"/>
        <w:rPr>
          <w:sz w:val="24"/>
          <w:szCs w:val="24"/>
          <w:lang w:val="ru-RU"/>
        </w:rPr>
      </w:pPr>
      <w:bookmarkStart w:id="29" w:name="_Toc2294877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услуг:</w:t>
      </w:r>
      <w:bookmarkEnd w:id="29"/>
    </w:p>
    <w:tbl>
      <w:tblPr>
        <w:tblW w:w="99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3119"/>
        <w:gridCol w:w="2835"/>
        <w:gridCol w:w="1547"/>
        <w:gridCol w:w="1856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47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414" w:hanging="357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----------------------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left="709" w:hanging="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709" w:hanging="504"/>
        <w:rPr>
          <w:lang w:val="ru-RU"/>
        </w:rPr>
      </w:pPr>
      <w:bookmarkStart w:id="30" w:name="_Toc229487756"/>
      <w:bookmarkStart w:id="31" w:name="_Toc51339696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к срокам поставки продукции и оказания сопутствующих услуг</w:t>
      </w:r>
      <w:bookmarkEnd w:id="30"/>
    </w:p>
    <w:p>
      <w:pPr>
        <w:pStyle w:val="Heading1"/>
        <w:keepLines/>
        <w:tabs>
          <w:tab w:val="clear" w:pos="0"/>
        </w:tabs>
        <w:spacing w:before="0" w:after="0"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bookmarkStart w:id="32" w:name="_Toc50125127"/>
      <w:bookmarkStart w:id="33" w:name="_Toc51339697"/>
      <w:bookmarkStart w:id="34" w:name="_Toc50125126"/>
      <w:bookmarkStart w:id="35" w:name="_Toc50125127"/>
      <w:bookmarkStart w:id="36" w:name="_Toc51339697"/>
      <w:bookmarkStart w:id="37" w:name="_Toc50125126"/>
      <w:bookmarkEnd w:id="37"/>
    </w:p>
    <w:p>
      <w:pPr>
        <w:pStyle w:val="Heading1"/>
        <w:keepLines/>
        <w:tabs>
          <w:tab w:val="clear" w:pos="0"/>
        </w:tabs>
        <w:spacing w:before="0" w:after="0"/>
        <w:ind w:left="0" w:hanging="0"/>
        <w:jc w:val="center"/>
        <w:rPr>
          <w:sz w:val="16"/>
          <w:szCs w:val="16"/>
        </w:rPr>
      </w:pPr>
      <w:bookmarkStart w:id="38" w:name="_Toc22948775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39" w:name="_Hlk50465284"/>
      <w:r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39"/>
      <w:r>
        <w:rPr>
          <w:sz w:val="24"/>
          <w:szCs w:val="24"/>
          <w:lang w:val="ru-RU"/>
        </w:rPr>
        <w:t>поставки продукции:</w:t>
      </w:r>
      <w:bookmarkEnd w:id="38"/>
    </w:p>
    <w:tbl>
      <w:tblPr>
        <w:tblW w:w="992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2976"/>
        <w:gridCol w:w="2553"/>
        <w:gridCol w:w="3262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57" w:hanging="0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Поставка ТМЦ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45 календарных дней с даты подписания договора</w:t>
            </w:r>
          </w:p>
        </w:tc>
      </w:tr>
    </w:tbl>
    <w:p>
      <w:pPr>
        <w:pStyle w:val="Heading1"/>
        <w:tabs>
          <w:tab w:val="clear" w:pos="0"/>
        </w:tabs>
        <w:spacing w:before="0" w:after="0"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bookmarkStart w:id="40" w:name="_Toc46743510"/>
      <w:bookmarkStart w:id="41" w:name="_Toc46743510"/>
      <w:bookmarkEnd w:id="41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tabs>
          <w:tab w:val="clear" w:pos="0"/>
        </w:tabs>
        <w:spacing w:before="0" w:after="0"/>
        <w:ind w:left="709" w:hanging="0"/>
        <w:jc w:val="center"/>
        <w:rPr>
          <w:sz w:val="16"/>
          <w:szCs w:val="16"/>
        </w:rPr>
      </w:pPr>
      <w:bookmarkStart w:id="42" w:name="_Toc22948775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r>
        <w:rPr>
          <w:sz w:val="24"/>
          <w:szCs w:val="24"/>
          <w:lang w:val="ru-RU"/>
        </w:rPr>
        <w:t>:</w:t>
      </w:r>
      <w:bookmarkEnd w:id="42"/>
    </w:p>
    <w:tbl>
      <w:tblPr>
        <w:tblW w:w="991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3"/>
        <w:gridCol w:w="2133"/>
        <w:gridCol w:w="2268"/>
        <w:gridCol w:w="2551"/>
        <w:gridCol w:w="1843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709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709" w:hanging="0"/>
        <w:rPr/>
      </w:pPr>
      <w:bookmarkStart w:id="43" w:name="_Toc229487759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43"/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Вся поставляемая продукция должна соответствовать требованиям ГОСТов, ТУ, указанных в настоящих ТТ, и иметь сертификаты соответствия государственных органов (Система сертификации ГОСТ Госстандарт России) и, если это дополнительно указано в настоящих ТТ, сертификаты соответствия, выданные отраслевыми органами сертификации.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Продукция должна соответствовать государственным санитарно-эпидемиологическим заключениям.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Наличие сертификатов соответствия и санитарно-эпидемиологическое заключение на предоставляемую продукцию обязательно.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Продукция без документов не принимается, ответственность за его сохранность Заказчик не несет.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Качество поставляемой продукции, его производители должны соответствовать качеству и списку производителей, заявленных Поставщиком в Открытом запросе предложений.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Упаковка продукции должна обеспечивать его сохранность при транспортировке и хранении.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Срок гарантии поставщика не менее одного года с момента поставки. Указать, что входит в гарантийные обязательства. Срок гарантии производителя не менее одного года.</w:t>
      </w:r>
    </w:p>
    <w:p>
      <w:pPr>
        <w:pStyle w:val="ListParagraph"/>
        <w:numPr>
          <w:ilvl w:val="3"/>
          <w:numId w:val="9"/>
        </w:numPr>
        <w:ind w:left="0" w:firstLine="709"/>
        <w:jc w:val="both"/>
        <w:rPr/>
      </w:pPr>
      <w:r>
        <w:rPr/>
        <w:t>Год выпуска товаров 4 кв. 2025 – 1 кв. 2026 года.</w:t>
      </w:r>
    </w:p>
    <w:p>
      <w:pPr>
        <w:pStyle w:val="Normal"/>
        <w:ind w:left="709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709" w:hanging="0"/>
        <w:rPr/>
      </w:pPr>
      <w:bookmarkStart w:id="44" w:name="_Toc229487760"/>
      <w:r>
        <w:rPr/>
        <w:t>Требования к цене продукции</w:t>
      </w:r>
      <w:bookmarkEnd w:id="44"/>
    </w:p>
    <w:p>
      <w:pPr>
        <w:pStyle w:val="ListParagraph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ListParagraph"/>
        <w:numPr>
          <w:ilvl w:val="0"/>
          <w:numId w:val="10"/>
        </w:numPr>
        <w:ind w:left="0" w:firstLine="709"/>
        <w:jc w:val="both"/>
        <w:rPr/>
      </w:pPr>
      <w:r>
        <w:rPr/>
        <w:t>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 и соответствовать среднерыночной стоимости продукции по региону.</w:t>
      </w:r>
    </w:p>
    <w:p>
      <w:pPr>
        <w:pStyle w:val="ListParagraph"/>
        <w:ind w:left="709" w:hanging="0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709" w:hanging="0"/>
        <w:rPr/>
      </w:pPr>
      <w:bookmarkStart w:id="45" w:name="_Toc229487761"/>
      <w:r>
        <w:rPr/>
        <w:t>Требования к доставке продукции</w:t>
      </w:r>
      <w:bookmarkEnd w:id="45"/>
    </w:p>
    <w:p>
      <w:pPr>
        <w:pStyle w:val="ListParagraph"/>
        <w:ind w:left="0" w:firstLine="426"/>
        <w:jc w:val="both"/>
        <w:rPr/>
      </w:pPr>
      <w:r>
        <w:rPr/>
        <w:t xml:space="preserve">Доставка Продукции до склада Заказчика в объеме и на сумму, указанную в заявке Заказчика, осуществляется по адресу: 369244, Карачаево-Черкесская Республика, Карачаевский район, пос. Правокубанский, Филиал «ПАО РусГидро» - «Карачаево-Черкесский филиал».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283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14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3b57ab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214pt" w:customStyle="1">
    <w:name w:val="Заголовок №2 + 14 pt"/>
    <w:uiPriority w:val="99"/>
    <w:qFormat/>
    <w:rsid w:val="00fb79a2"/>
    <w:rPr>
      <w:rFonts w:ascii="Times New Roman" w:hAnsi="Times New Roman" w:cs="Times New Roman"/>
      <w:b/>
      <w:bCs/>
      <w:spacing w:val="8"/>
      <w:sz w:val="28"/>
      <w:szCs w:val="28"/>
      <w:u w:val="none"/>
    </w:rPr>
  </w:style>
  <w:style w:type="character" w:styleId="14" w:customStyle="1">
    <w:name w:val="Основной текст Знак1"/>
    <w:uiPriority w:val="99"/>
    <w:qFormat/>
    <w:locked/>
    <w:rsid w:val="00ea50bc"/>
    <w:rPr>
      <w:rFonts w:ascii="Times New Roman" w:hAnsi="Times New Roman" w:cs="Times New Roman"/>
      <w:spacing w:val="4"/>
      <w:sz w:val="25"/>
      <w:szCs w:val="25"/>
      <w:u w:val="none"/>
    </w:rPr>
  </w:style>
  <w:style w:type="character" w:styleId="Style14" w:customStyle="1">
    <w:name w:val="Ссылка указателя"/>
    <w:qFormat/>
    <w:rPr/>
  </w:style>
  <w:style w:type="character" w:styleId="Exact" w:customStyle="1">
    <w:name w:val="Основной текст Exact"/>
    <w:uiPriority w:val="99"/>
    <w:qFormat/>
    <w:rsid w:val="00b266b0"/>
    <w:rPr>
      <w:rFonts w:ascii="Arial" w:hAnsi="Arial" w:cs="Arial"/>
      <w:spacing w:val="12"/>
      <w:sz w:val="33"/>
      <w:szCs w:val="33"/>
      <w:u w:val="none"/>
    </w:rPr>
  </w:style>
  <w:style w:type="character" w:styleId="Exact1" w:customStyle="1">
    <w:name w:val="Основной текст Exact1"/>
    <w:uiPriority w:val="99"/>
    <w:qFormat/>
    <w:rsid w:val="00b266b0"/>
    <w:rPr>
      <w:rFonts w:ascii="Arial" w:hAnsi="Arial" w:cs="Arial"/>
      <w:color w:val="000000"/>
      <w:spacing w:val="12"/>
      <w:w w:val="100"/>
      <w:sz w:val="33"/>
      <w:szCs w:val="33"/>
      <w:u w:val="single"/>
    </w:rPr>
  </w:style>
  <w:style w:type="character" w:styleId="Exact2" w:customStyle="1">
    <w:name w:val="Подпись к картинке Exact"/>
    <w:link w:val="Style34"/>
    <w:uiPriority w:val="99"/>
    <w:qFormat/>
    <w:rsid w:val="00b266b0"/>
    <w:rPr>
      <w:rFonts w:ascii="Arial" w:hAnsi="Arial" w:cs="Arial"/>
      <w:spacing w:val="12"/>
      <w:sz w:val="33"/>
      <w:szCs w:val="33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4d688c"/>
    <w:pPr>
      <w:tabs>
        <w:tab w:val="clear" w:pos="708"/>
        <w:tab w:val="left" w:pos="1120" w:leader="none"/>
        <w:tab w:val="right" w:pos="9911" w:leader="dot"/>
      </w:tabs>
      <w:ind w:left="426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Подпись к картинке"/>
    <w:basedOn w:val="Normal"/>
    <w:link w:val="Exact2"/>
    <w:uiPriority w:val="99"/>
    <w:qFormat/>
    <w:rsid w:val="00b266b0"/>
    <w:pPr>
      <w:widowControl w:val="false"/>
      <w:shd w:val="clear" w:color="auto" w:fill="FFFFFF"/>
      <w:suppressAutoHyphens w:val="false"/>
      <w:spacing w:lineRule="atLeast" w:line="240"/>
    </w:pPr>
    <w:rPr>
      <w:rFonts w:ascii="Arial" w:hAnsi="Arial" w:cs="Arial"/>
      <w:spacing w:val="12"/>
      <w:sz w:val="33"/>
      <w:szCs w:val="33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FEFB-C225-4EC7-947A-695DAD6A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AlterOffice/3.4.0.9$Linux_X86_64 LibreOffice_project/b8daf9e823b1a5463a2f48435ddc2e8696e7d4fc</Application>
  <AppVersion>15.0000</AppVersion>
  <Pages>6</Pages>
  <Words>898</Words>
  <Characters>6001</Characters>
  <CharactersWithSpaces>6741</CharactersWithSpaces>
  <Paragraphs>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2024-01-15T11:38:00Z</dcterms:created>
  <dc:creator>Быстров Олег Геннадьевич</dc:creator>
  <dc:description/>
  <dc:language>ru-RU</dc:language>
  <cp:lastModifiedBy>zabelkinans@corp.gidroogk.com</cp:lastModifiedBy>
  <cp:lastPrinted>2026-01-21T14:29:00Z</cp:lastPrinted>
  <dcterms:modified xsi:type="dcterms:W3CDTF">2026-05-13T11:03:10Z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