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</w:p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954" w:leader="none"/>
        </w:tabs>
        <w:spacing w:lineRule="auto" w:line="240" w:before="0" w:after="0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x-none" w:eastAsia="ru-RU"/>
        </w:rPr>
      </w:r>
      <w:bookmarkStart w:id="0" w:name="_Toc1375545881"/>
      <w:bookmarkStart w:id="1" w:name="_Toc1398562911"/>
      <w:bookmarkStart w:id="2" w:name="_Toc1416967081"/>
      <w:bookmarkStart w:id="3" w:name="_Toc1375545881"/>
      <w:bookmarkStart w:id="4" w:name="_Toc1398562911"/>
      <w:bookmarkStart w:id="5" w:name="_Toc1416967081"/>
      <w:bookmarkEnd w:id="3"/>
      <w:bookmarkEnd w:id="4"/>
      <w:bookmarkEnd w:id="5"/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ТЕХНИЧЕСКИЕ ТРЕБОВАНИЯ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26.30.50.119 Поставка м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атериалов и запасных частей для эксплуатации КСБ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Филиала ПАО «РусГидро» - «Карачаево-Черкесский филиал»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Лот 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№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41-ЭКСППРОД-2026-КЧФ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.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Heading1"/>
        <w:rPr>
          <w:lang w:eastAsia="ru-RU"/>
        </w:rPr>
      </w:pPr>
      <w:r>
        <w:rPr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пгт. Правокубанский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2026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  <w:id w:val="2036368131"/>
      </w:sdtPr>
      <w:sdtContent>
        <w:p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</w:r>
        </w:p>
        <w:p>
          <w:pPr>
            <w:pStyle w:val="TOC1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r>
            <w:fldChar w:fldCharType="begin"/>
          </w:r>
          <w:r>
            <w:rPr>
              <w:webHidden/>
              <w:rStyle w:val="Style14"/>
              <w:sz w:val="24"/>
              <w:b/>
              <w:szCs w:val="24"/>
              <w:rFonts w:cs="Times New Roman" w:ascii="Times New Roman" w:hAnsi="Times New Roman"/>
            </w:rPr>
            <w:instrText xml:space="preserve"> TOC \z \o "1-3" \u \h</w:instrText>
          </w:r>
          <w:r>
            <w:rPr>
              <w:webHidden/>
              <w:rStyle w:val="Style14"/>
              <w:sz w:val="24"/>
              <w:b/>
              <w:szCs w:val="24"/>
              <w:rFonts w:cs="Times New Roman" w:ascii="Times New Roman" w:hAnsi="Times New Roman"/>
            </w:rPr>
            <w:fldChar w:fldCharType="separate"/>
          </w:r>
          <w:hyperlink w:anchor="_Toc229561356">
            <w:r>
              <w:rPr>
                <w:webHidden/>
                <w:rStyle w:val="Style14"/>
                <w:rFonts w:cs="Times New Roman" w:ascii="Times New Roman" w:hAnsi="Times New Roman"/>
                <w:b/>
                <w:sz w:val="24"/>
                <w:szCs w:val="24"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57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1.1. Обозначения и сокращения: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58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1.2. Наименование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59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1.3. 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0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1.4. 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1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1.5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2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1.6. 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3">
            <w:r>
              <w:rPr>
                <w:webHidden/>
                <w:rStyle w:val="Style14"/>
                <w:rFonts w:cs="Times New Roman" w:ascii="Times New Roman" w:hAnsi="Times New Roman"/>
                <w:b/>
                <w:sz w:val="24"/>
                <w:szCs w:val="24"/>
              </w:rPr>
              <w:t>2.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4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2.1. 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5">
            <w:r>
              <w:rPr>
                <w:webHidden/>
                <w:rStyle w:val="Style14"/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Таблица 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6">
            <w:r>
              <w:rPr>
                <w:webHidden/>
                <w:rStyle w:val="Style14"/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Таблица 2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7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2.2. Требования к качеству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8">
            <w:r>
              <w:rPr>
                <w:webHidden/>
                <w:rStyle w:val="Style14"/>
                <w:rFonts w:cs="Times New Roman" w:ascii="Times New Roman" w:hAnsi="Times New Roman"/>
                <w:b/>
                <w:bCs/>
                <w:sz w:val="24"/>
                <w:szCs w:val="24"/>
              </w:rPr>
              <w:t>Таблица 3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69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2.3. Требования к цене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10042" w:leader="dot"/>
            </w:tabs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29561370">
            <w:r>
              <w:rPr>
                <w:webHidden/>
                <w:rStyle w:val="Style14"/>
                <w:rFonts w:cs="Times New Roman" w:ascii="Times New Roman" w:hAnsi="Times New Roman"/>
                <w:sz w:val="24"/>
                <w:szCs w:val="24"/>
              </w:rPr>
              <w:t>2.4. Требования к доставке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_Toc229561370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 w:ascii="Times New Roman" w:hAnsi="Times New Roman"/>
                <w:vanish w:val="false"/>
                <w:sz w:val="24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vanish w:val="false"/>
              <w:rFonts w:cs="Times New Roman" w:ascii="Times New Roman" w:hAnsi="Times New Roman"/>
            </w:rPr>
            <w:fldChar w:fldCharType="end"/>
          </w:r>
        </w:p>
      </w:sdtContent>
    </w:sdt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eading1"/>
        <w:ind w:left="357" w:hanging="0"/>
        <w:jc w:val="center"/>
        <w:rPr>
          <w:color w:val="auto"/>
          <w:sz w:val="28"/>
          <w:szCs w:val="28"/>
        </w:rPr>
      </w:pPr>
      <w:bookmarkStart w:id="6" w:name="_Toc229561356"/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1. </w:t>
      </w:r>
      <w:bookmarkStart w:id="7" w:name="_Toc75446566"/>
      <w:bookmarkStart w:id="8" w:name="_Toc51339692"/>
      <w:r>
        <w:rPr>
          <w:rFonts w:cs="Times New Roman" w:ascii="Times New Roman" w:hAnsi="Times New Roman"/>
          <w:b/>
          <w:color w:val="auto"/>
          <w:sz w:val="28"/>
          <w:szCs w:val="28"/>
        </w:rPr>
        <w:t>Общие сведения</w:t>
      </w:r>
      <w:bookmarkEnd w:id="6"/>
      <w:bookmarkEnd w:id="7"/>
      <w:bookmarkEnd w:id="8"/>
    </w:p>
    <w:p>
      <w:pPr>
        <w:pStyle w:val="Heading2"/>
        <w:spacing w:beforeAutospacing="0" w:before="0" w:afterAutospacing="0" w:after="0"/>
        <w:ind w:left="425" w:hanging="0"/>
        <w:rPr>
          <w:sz w:val="24"/>
          <w:szCs w:val="28"/>
        </w:rPr>
      </w:pPr>
      <w:bookmarkStart w:id="9" w:name="_Toc229561357"/>
      <w:r>
        <w:rPr>
          <w:sz w:val="24"/>
          <w:szCs w:val="28"/>
        </w:rPr>
        <w:t>1.1. Обозначения и сокращения:</w:t>
      </w:r>
      <w:bookmarkEnd w:id="9"/>
    </w:p>
    <w:p>
      <w:pPr>
        <w:pStyle w:val="Heading2"/>
        <w:spacing w:beforeAutospacing="0" w:before="0" w:afterAutospacing="0" w:after="0"/>
        <w:ind w:left="425" w:hanging="0"/>
        <w:rPr>
          <w:sz w:val="24"/>
          <w:szCs w:val="28"/>
        </w:rPr>
      </w:pPr>
      <w:r>
        <w:rPr>
          <w:sz w:val="24"/>
          <w:szCs w:val="28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bCs/>
                <w:i w:val="false"/>
                <w:sz w:val="24"/>
                <w:szCs w:val="24"/>
                <w:shd w:fill="auto" w:val="clear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bCs/>
                <w:i w:val="false"/>
                <w:sz w:val="24"/>
                <w:szCs w:val="24"/>
                <w:shd w:fill="auto" w:val="clear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bCs/>
                <w:i w:val="false"/>
                <w:sz w:val="24"/>
                <w:szCs w:val="24"/>
                <w:shd w:fill="auto" w:val="clear"/>
              </w:rPr>
              <w:t>КСБ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bCs/>
                <w:i w:val="false"/>
                <w:sz w:val="24"/>
                <w:szCs w:val="24"/>
                <w:shd w:fill="auto" w:val="clear"/>
              </w:rPr>
              <w:t>Комплексная система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Служба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ind w:left="284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Heading2"/>
        <w:spacing w:lineRule="auto" w:line="276" w:beforeAutospacing="0" w:before="0" w:afterAutospacing="0" w:after="0"/>
        <w:ind w:firstLine="709"/>
        <w:rPr>
          <w:sz w:val="24"/>
          <w:szCs w:val="28"/>
        </w:rPr>
      </w:pPr>
      <w:bookmarkStart w:id="10" w:name="_Toc229561358"/>
      <w:r>
        <w:rPr>
          <w:sz w:val="24"/>
          <w:szCs w:val="28"/>
        </w:rPr>
        <w:t>1.2. Наименование закупаемой продукции:</w:t>
      </w:r>
      <w:bookmarkEnd w:id="10"/>
    </w:p>
    <w:p>
      <w:pPr>
        <w:pStyle w:val="NoSpacing"/>
        <w:spacing w:lineRule="auto" w:line="276"/>
        <w:ind w:firstLine="709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«Поставка материалов и запасных частей для эксплуатации КСБ»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Heading2"/>
        <w:spacing w:lineRule="auto" w:line="276" w:beforeAutospacing="0" w:before="0" w:afterAutospacing="0" w:after="0"/>
        <w:ind w:firstLine="709"/>
        <w:rPr>
          <w:sz w:val="24"/>
          <w:szCs w:val="28"/>
        </w:rPr>
      </w:pPr>
      <w:bookmarkStart w:id="11" w:name="_Toc229561359"/>
      <w:r>
        <w:rPr>
          <w:sz w:val="24"/>
          <w:szCs w:val="28"/>
        </w:rPr>
        <w:t xml:space="preserve">1.3. </w:t>
      </w:r>
      <w:bookmarkStart w:id="12" w:name="_Toc46743507"/>
      <w:r>
        <w:rPr>
          <w:sz w:val="24"/>
          <w:szCs w:val="28"/>
        </w:rPr>
        <w:t xml:space="preserve">Цель </w:t>
      </w:r>
      <w:bookmarkEnd w:id="12"/>
      <w:r>
        <w:rPr>
          <w:sz w:val="24"/>
          <w:szCs w:val="28"/>
        </w:rPr>
        <w:t>использования закупаемой продукции</w:t>
      </w:r>
      <w:bookmarkEnd w:id="11"/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Закупка производится с целью обеспечения комплексной системы безопасности Филиала материалами необходимыми для поддержания работоспособности оборудования, на которое возложены задачи по обеспечению антитеррористической защищенности и внутриобъектового режима.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Heading2"/>
        <w:spacing w:lineRule="auto" w:line="276" w:beforeAutospacing="0" w:before="0" w:afterAutospacing="0" w:after="0"/>
        <w:ind w:firstLine="709"/>
        <w:rPr>
          <w:sz w:val="24"/>
          <w:szCs w:val="28"/>
        </w:rPr>
      </w:pPr>
      <w:bookmarkStart w:id="13" w:name="_Toc229561360"/>
      <w:r>
        <w:rPr>
          <w:sz w:val="24"/>
          <w:szCs w:val="28"/>
        </w:rPr>
        <w:t>1.4. Существующее положение</w:t>
      </w:r>
      <w:bookmarkEnd w:id="13"/>
      <w:r>
        <w:rPr>
          <w:sz w:val="24"/>
          <w:szCs w:val="28"/>
        </w:rPr>
        <w:t xml:space="preserve"> 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 настоящее время имеющийся резерв израсходован и нуждается в обновлении и пополнении. 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Heading2"/>
        <w:spacing w:lineRule="auto" w:line="276" w:beforeAutospacing="0" w:before="0" w:afterAutospacing="0" w:after="0"/>
        <w:ind w:firstLine="709"/>
        <w:rPr>
          <w:sz w:val="24"/>
          <w:szCs w:val="28"/>
        </w:rPr>
      </w:pPr>
      <w:bookmarkStart w:id="14" w:name="_Toc229561361"/>
      <w:r>
        <w:rPr>
          <w:sz w:val="24"/>
          <w:szCs w:val="28"/>
        </w:rPr>
        <w:t xml:space="preserve">1.5 </w:t>
      </w:r>
      <w:bookmarkStart w:id="15" w:name="_Toc46743509"/>
      <w:bookmarkStart w:id="16" w:name="_Hlk49857604"/>
      <w:r>
        <w:rPr>
          <w:sz w:val="24"/>
          <w:szCs w:val="28"/>
        </w:rPr>
        <w:t xml:space="preserve">Информация в отношении исполнения договора, </w:t>
      </w:r>
      <w:bookmarkStart w:id="17" w:name="_Hlk46492347"/>
      <w:r>
        <w:rPr>
          <w:sz w:val="24"/>
          <w:szCs w:val="28"/>
        </w:rPr>
        <w:t xml:space="preserve">которая должна быть учтена при подготовке заявки </w:t>
      </w:r>
      <w:bookmarkEnd w:id="17"/>
      <w:r>
        <w:rPr>
          <w:sz w:val="24"/>
          <w:szCs w:val="28"/>
        </w:rPr>
        <w:t>(в том числе перечень ресурсов, услуг и документов, предоставляемых заказчиком на этапе исполнения договора)</w:t>
      </w:r>
      <w:bookmarkEnd w:id="14"/>
      <w:bookmarkEnd w:id="15"/>
      <w:bookmarkEnd w:id="16"/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eastAsia="ru-RU"/>
        </w:rPr>
        <w:t>Поставка продукции на склад Заказчика, и ее разгрузка должна быть выполнена силами и за счет Поставщика.</w:t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Поставка и разгрузка продукции осуществляется на склад Заказчика находящийся по адресу: Станционный узел Зеленчукской ГЭС-ГАЭС, пгт. Правокубанский, Карачаевский р-он, Карачаево-Черкесская Республика, Российская Федерация, 369244</w:t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Поставка продукции Заказчиком должна быть осуществлена в 1 этап.</w:t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В своей заявке участник закупочной процедуры обязан указать полную спецификацию предложенной к поставке продукции с указанием полного наименования, марки и модели, а также полную стоимость предлагаемой к поставке продукции, включающую в себя цену предлагаемой продукции, затраты на транспортировку, уплату налогов, таможенных пошлин, сборов и других обязательных платежей, а также срок в течении, которого участник готов осуществить поставку предлагаемой продукции.</w:t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Не предоставление участником указанных сведений (предоставление неполных сведений), а также неисполнение пунктов 1.6.1 и 1.6.2 дает Заказчику право отклонить заявку участника.</w:t>
      </w:r>
    </w:p>
    <w:p>
      <w:pPr>
        <w:pStyle w:val="Heading2"/>
        <w:spacing w:lineRule="auto" w:line="276" w:beforeAutospacing="0" w:before="0" w:afterAutospacing="0" w:after="0"/>
        <w:ind w:firstLine="709"/>
        <w:rPr>
          <w:sz w:val="24"/>
          <w:szCs w:val="28"/>
        </w:rPr>
      </w:pPr>
      <w:bookmarkStart w:id="18" w:name="_Toc229561362"/>
      <w:bookmarkStart w:id="19" w:name="_Toc46743510"/>
      <w:bookmarkStart w:id="20" w:name="_Hlk482097611"/>
      <w:bookmarkStart w:id="21" w:name="_Toc50125126"/>
      <w:bookmarkEnd w:id="19"/>
      <w:bookmarkEnd w:id="20"/>
      <w:bookmarkEnd w:id="21"/>
      <w:r>
        <w:rPr>
          <w:sz w:val="24"/>
          <w:szCs w:val="28"/>
        </w:rPr>
        <w:t>1.6. Иные требования и сведения общего характера</w:t>
      </w:r>
      <w:bookmarkEnd w:id="18"/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1.6.1. В связи с аппаратной несовместимостью отдельных наименований товарно-материальных ценностей, указанным в п. 2. настоящих ТТ, возможность поставки 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>эквивалентов,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с не уступающими (аналогичными) техническими характеристиками, указана в Таблице 1.1 не допускается.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Согласование замены на эквиваленты обязательно </w:t>
      </w:r>
      <w:r>
        <w:rPr>
          <w:rFonts w:cs="Times New Roman" w:ascii="Times New Roman" w:hAnsi="Times New Roman"/>
          <w:sz w:val="24"/>
          <w:szCs w:val="24"/>
          <w:lang w:eastAsia="ru-RU"/>
        </w:rPr>
        <w:t>с подразделением-куратором.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1.6.2 В случае если заявка участника закупочной процедуры будет содержать предложение поставки товарно-материальных ценностей эквивалентных указанным в п. 2. настоящих ТТ, технические характеристики указанной в такой заявке продукции должны быть подтверждены документами, позволяющим точно определить технические характеристики предложенной к поставке продукции.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1.6.3 </w:t>
      </w:r>
      <w:r>
        <w:rPr>
          <w:rFonts w:cs="Times New Roman" w:ascii="Times New Roman" w:hAnsi="Times New Roman"/>
          <w:sz w:val="24"/>
          <w:szCs w:val="24"/>
        </w:rPr>
        <w:t>Вся поставляемая продукция должна быть новой, иметь заводскую фирменную упаковку предприятия-изготовителя, иметь все необходимые сертификаты качества, соответствовать требованиям нормативных документов РФ, иметь паспорта на русском языке.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1.6</w:t>
      </w:r>
      <w:r>
        <w:rPr>
          <w:rFonts w:cs="Times New Roman" w:ascii="Times New Roman" w:hAnsi="Times New Roman"/>
          <w:sz w:val="24"/>
          <w:szCs w:val="24"/>
        </w:rPr>
        <w:t>.4 Срок гарантии поставщика на поставляемые оборудование и материалы не менее 2 лет.</w:t>
      </w:r>
    </w:p>
    <w:p>
      <w:pPr>
        <w:pStyle w:val="Heading1"/>
        <w:ind w:left="357" w:hang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229561363"/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2. </w:t>
      </w:r>
      <w:bookmarkStart w:id="23" w:name="_Toc51339693"/>
      <w:bookmarkStart w:id="24" w:name="_Toc75446573"/>
      <w:r>
        <w:rPr>
          <w:rFonts w:cs="Times New Roman" w:ascii="Times New Roman" w:hAnsi="Times New Roman"/>
          <w:b/>
          <w:color w:val="auto"/>
          <w:sz w:val="28"/>
          <w:szCs w:val="28"/>
        </w:rPr>
        <w:t>Требования к продукции</w:t>
      </w:r>
      <w:bookmarkEnd w:id="22"/>
      <w:bookmarkEnd w:id="23"/>
      <w:bookmarkEnd w:id="24"/>
    </w:p>
    <w:p>
      <w:pPr>
        <w:pStyle w:val="NoSpacing"/>
        <w:ind w:left="284" w:hanging="0"/>
        <w:jc w:val="both"/>
        <w:rPr>
          <w:iCs/>
        </w:rPr>
      </w:pPr>
      <w:r>
        <w:rPr>
          <w:iCs/>
        </w:rPr>
      </w:r>
    </w:p>
    <w:p>
      <w:pPr>
        <w:pStyle w:val="Heading2"/>
        <w:spacing w:beforeAutospacing="0" w:before="0" w:afterAutospacing="0" w:after="0"/>
        <w:ind w:left="425" w:hanging="0"/>
        <w:rPr>
          <w:sz w:val="24"/>
          <w:szCs w:val="28"/>
        </w:rPr>
      </w:pPr>
      <w:bookmarkStart w:id="25" w:name="_Toc229561364"/>
      <w:r>
        <w:rPr>
          <w:sz w:val="24"/>
          <w:szCs w:val="28"/>
        </w:rPr>
        <w:t xml:space="preserve">2.1. </w:t>
      </w:r>
      <w:bookmarkStart w:id="26" w:name="_Toc75446574"/>
      <w:r>
        <w:rPr>
          <w:sz w:val="24"/>
          <w:szCs w:val="28"/>
        </w:rPr>
        <w:t>Требования к объемам и срокам поставки</w:t>
      </w:r>
      <w:bookmarkEnd w:id="25"/>
      <w:bookmarkEnd w:id="26"/>
    </w:p>
    <w:p>
      <w:pPr>
        <w:pStyle w:val="Normal"/>
        <w:ind w:left="284" w:hanging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 xml:space="preserve">2.1.1. </w:t>
      </w:r>
      <w:bookmarkStart w:id="27" w:name="_Toc75446575"/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Перечень и объем закупаемой продукции</w:t>
      </w:r>
      <w:bookmarkEnd w:id="27"/>
    </w:p>
    <w:p>
      <w:pPr>
        <w:pStyle w:val="Heading1"/>
        <w:spacing w:before="240" w:after="60"/>
        <w:jc w:val="both"/>
        <w:rPr>
          <w:sz w:val="24"/>
          <w:szCs w:val="24"/>
        </w:rPr>
      </w:pPr>
      <w:bookmarkStart w:id="28" w:name="_Toc75446576"/>
      <w:bookmarkStart w:id="29" w:name="_Toc51339695"/>
      <w:r>
        <w:rPr>
          <w:rFonts w:cs="Times New Roman" w:ascii="Times New Roman" w:hAnsi="Times New Roman"/>
          <w:b/>
          <w:bCs/>
          <w:color w:val="auto"/>
          <w:sz w:val="24"/>
          <w:szCs w:val="24"/>
          <w:lang w:eastAsia="ru-RU"/>
        </w:rPr>
        <w:t xml:space="preserve">    </w:t>
      </w:r>
      <w:bookmarkStart w:id="30" w:name="_Toc229561365"/>
      <w:r>
        <w:rPr>
          <w:rFonts w:cs="Times New Roman" w:ascii="Times New Roman" w:hAnsi="Times New Roman"/>
          <w:b/>
          <w:bCs/>
          <w:color w:val="auto"/>
          <w:sz w:val="24"/>
          <w:szCs w:val="24"/>
          <w:lang w:eastAsia="ru-RU"/>
        </w:rPr>
        <w:t xml:space="preserve">Таблица 1 Перечень </w:t>
      </w:r>
      <w:bookmarkEnd w:id="29"/>
      <w:r>
        <w:rPr>
          <w:rFonts w:cs="Times New Roman" w:ascii="Times New Roman" w:hAnsi="Times New Roman"/>
          <w:b/>
          <w:bCs/>
          <w:color w:val="auto"/>
          <w:sz w:val="24"/>
          <w:szCs w:val="24"/>
          <w:lang w:eastAsia="ru-RU"/>
        </w:rPr>
        <w:t>и объем закупаемой продукции</w:t>
      </w:r>
      <w:bookmarkEnd w:id="28"/>
      <w:bookmarkEnd w:id="30"/>
    </w:p>
    <w:tbl>
      <w:tblPr>
        <w:tblpPr w:bottomFromText="0" w:horzAnchor="margin" w:leftFromText="180" w:rightFromText="180" w:tblpX="0" w:tblpXSpec="center" w:tblpY="180" w:topFromText="0" w:vertAnchor="text"/>
        <w:tblW w:w="10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2"/>
        <w:gridCol w:w="7226"/>
        <w:gridCol w:w="1260"/>
        <w:gridCol w:w="1134"/>
      </w:tblGrid>
      <w:tr>
        <w:trPr>
          <w:trHeight w:val="52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Извещатель Болид С2000-ИК исп.02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418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Реле РЭК 78-3 5А 220В AC IEK RRP20-3-05- 220A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Б</w:t>
            </w:r>
            <w:r>
              <w:rPr>
                <w:rFonts w:ascii="Times New Roman" w:hAnsi="Times New Roman"/>
                <w:sz w:val="26"/>
              </w:rPr>
              <w:t>лок питания ARPV-12100-A1 (12V, 8.3A, 100W) (Arlight, IP67 Металл, 3 года) 032316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(или эквивалент)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>
        <w:trPr>
          <w:trHeight w:val="264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ПУ ТРЕЗОР-В04 пульт управления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>
        <w:trPr>
          <w:trHeight w:val="264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Вибрационное средство обнаружения ТРЕЗОРВ04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>
        <w:trPr>
          <w:trHeight w:val="264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ТРЕЗОР-В-04 плата НЧ канала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>
        <w:trPr>
          <w:trHeight w:val="264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/>
                <w:sz w:val="26"/>
              </w:rPr>
              <w:t xml:space="preserve">СС 40 Катана, КСС "Ш1-1", консольное крепление, 4500К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(или эквивалент)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>
        <w:trPr>
          <w:trHeight w:val="264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СС 24 Магистраль, КСС "Ш1-2", крепление скоба, 4000К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(или эквивалент)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>
        <w:trPr>
          <w:trHeight w:val="288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</w:rPr>
              <w:t>онтактор IEK КМИ-11211, 12А, 220В, ИЭК, KKM11-012-230-01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Съемный литиевый аккумулятор, 2300 мА*ч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Трехпортовая зарядная станция для обнаружителей 3mx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Сетевое зарядное устройство для обнаружителей 3mx, 8.4В-1А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>
      <w:pPr>
        <w:pStyle w:val="Heading3"/>
        <w:spacing w:lineRule="auto" w:line="240" w:before="0" w:after="0"/>
        <w:jc w:val="both"/>
        <w:rPr/>
      </w:pPr>
      <w:r>
        <w:rPr/>
      </w:r>
    </w:p>
    <w:p>
      <w:pPr>
        <w:pStyle w:val="Heading1"/>
        <w:spacing w:lineRule="auto" w:line="240" w:before="240" w:after="60"/>
        <w:ind w:left="283" w:hanging="0"/>
        <w:jc w:val="both"/>
        <w:rPr>
          <w:color w:val="auto"/>
        </w:rPr>
      </w:pPr>
      <w:bookmarkStart w:id="31" w:name="_Toc229561366"/>
      <w:bookmarkStart w:id="32" w:name="_Toc75446579"/>
      <w:bookmarkStart w:id="33" w:name="_Toc50125127"/>
      <w:bookmarkStart w:id="34" w:name="_Toc51339697"/>
      <w:bookmarkStart w:id="35" w:name="_Toc501251261"/>
      <w:bookmarkEnd w:id="35"/>
      <w:r>
        <w:rPr>
          <w:rFonts w:cs="Times New Roman" w:ascii="Times New Roman" w:hAnsi="Times New Roman"/>
          <w:b/>
          <w:color w:val="auto"/>
          <w:sz w:val="24"/>
          <w:szCs w:val="24"/>
          <w:lang w:eastAsia="ru-RU"/>
        </w:rPr>
        <w:t xml:space="preserve">Таблица 2 </w:t>
      </w:r>
      <w:bookmarkStart w:id="36" w:name="_Hlk50465284"/>
      <w:r>
        <w:rPr>
          <w:rFonts w:cs="Times New Roman" w:ascii="Times New Roman" w:hAnsi="Times New Roman"/>
          <w:b/>
          <w:color w:val="auto"/>
          <w:sz w:val="24"/>
          <w:szCs w:val="24"/>
          <w:lang w:eastAsia="ru-RU"/>
        </w:rPr>
        <w:t xml:space="preserve">Требования по срокам </w:t>
      </w:r>
      <w:bookmarkEnd w:id="33"/>
      <w:bookmarkEnd w:id="34"/>
      <w:bookmarkEnd w:id="36"/>
      <w:r>
        <w:rPr>
          <w:rFonts w:cs="Times New Roman" w:ascii="Times New Roman" w:hAnsi="Times New Roman"/>
          <w:b/>
          <w:color w:val="auto"/>
          <w:sz w:val="24"/>
          <w:szCs w:val="24"/>
          <w:lang w:eastAsia="ru-RU"/>
        </w:rPr>
        <w:t>поставки продукции</w:t>
      </w:r>
      <w:bookmarkEnd w:id="31"/>
      <w:bookmarkEnd w:id="32"/>
      <w:r>
        <w:rPr>
          <w:rFonts w:cs="Times New Roman" w:ascii="Times New Roman" w:hAnsi="Times New Roman"/>
          <w:b/>
          <w:color w:val="auto"/>
          <w:sz w:val="24"/>
          <w:szCs w:val="24"/>
          <w:lang w:eastAsia="ru-RU"/>
        </w:rPr>
        <w:t xml:space="preserve"> </w:t>
      </w:r>
    </w:p>
    <w:tbl>
      <w:tblPr>
        <w:tblW w:w="100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87"/>
        <w:gridCol w:w="2947"/>
        <w:gridCol w:w="2945"/>
        <w:gridCol w:w="3015"/>
      </w:tblGrid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right="2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Поставка материалов и запасных частей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даты подписания договора.</w:t>
            </w:r>
            <w:bookmarkStart w:id="37" w:name="_GoBack"/>
            <w:bookmarkEnd w:id="37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 позднее 30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720" w:gutter="0" w:header="0" w:top="720" w:footer="709" w:bottom="766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Heading2"/>
        <w:spacing w:beforeAutospacing="0" w:before="0" w:afterAutospacing="0" w:after="0"/>
        <w:ind w:left="425" w:hanging="0"/>
        <w:rPr>
          <w:sz w:val="24"/>
          <w:szCs w:val="28"/>
        </w:rPr>
      </w:pPr>
      <w:bookmarkStart w:id="38" w:name="_Toc229561367"/>
      <w:bookmarkStart w:id="39" w:name="_Toc754465811"/>
      <w:bookmarkStart w:id="40" w:name="_Toc75446581"/>
      <w:r>
        <w:rPr>
          <w:sz w:val="24"/>
          <w:szCs w:val="28"/>
        </w:rPr>
        <w:t>2</w:t>
      </w:r>
      <w:bookmarkEnd w:id="39"/>
      <w:bookmarkEnd w:id="40"/>
      <w:r>
        <w:rPr>
          <w:sz w:val="24"/>
          <w:szCs w:val="28"/>
        </w:rPr>
        <w:t>.2. Требования к качеству продукции.</w:t>
      </w:r>
      <w:bookmarkEnd w:id="38"/>
    </w:p>
    <w:p>
      <w:pPr>
        <w:pStyle w:val="Heading1"/>
        <w:spacing w:before="240" w:after="60"/>
        <w:ind w:left="397" w:hanging="0"/>
        <w:rPr>
          <w:rFonts w:ascii="Times New Roman" w:hAnsi="Times New Roman"/>
          <w:b/>
          <w:bCs/>
          <w:sz w:val="24"/>
          <w:szCs w:val="24"/>
        </w:rPr>
      </w:pPr>
      <w:bookmarkStart w:id="41" w:name="_Toc229561368"/>
      <w:bookmarkStart w:id="42" w:name="_Toc75446582"/>
      <w:r>
        <w:rPr>
          <w:rFonts w:ascii="Times New Roman" w:hAnsi="Times New Roman"/>
          <w:b/>
          <w:bCs/>
          <w:color w:val="auto"/>
          <w:sz w:val="24"/>
          <w:szCs w:val="24"/>
        </w:rPr>
        <w:t>Таблица 3 Требования к про</w:t>
      </w:r>
      <w:bookmarkEnd w:id="42"/>
      <w:r>
        <w:rPr>
          <w:rFonts w:ascii="Times New Roman" w:hAnsi="Times New Roman"/>
          <w:b/>
          <w:bCs/>
          <w:color w:val="auto"/>
          <w:sz w:val="24"/>
          <w:szCs w:val="24"/>
        </w:rPr>
        <w:t>дукции</w:t>
      </w:r>
      <w:bookmarkEnd w:id="41"/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166"/>
        <w:gridCol w:w="20"/>
        <w:gridCol w:w="2894"/>
        <w:gridCol w:w="2958"/>
        <w:gridCol w:w="2814"/>
        <w:gridCol w:w="3095"/>
        <w:gridCol w:w="2404"/>
      </w:tblGrid>
      <w:tr>
        <w:trPr>
          <w:trHeight w:val="585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Требование заказчика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20" w:hRule="atLeast"/>
        </w:trPr>
        <w:tc>
          <w:tcPr>
            <w:tcW w:w="11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1535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Извещатель Болид С2000-ИК исп.02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BOLID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головного устройства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Степень защиты (IP)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IP41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8F7F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Дальность обнаружения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м.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eastAsia="ru-RU"/>
              </w:rPr>
              <w:t xml:space="preserve">Реле РЭК 78-3 5А 220В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val="en-US" w:eastAsia="ru-RU"/>
              </w:rPr>
              <w:t>AC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val="en-US" w:eastAsia="ru-RU"/>
              </w:rPr>
              <w:t>IEK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val="en-US" w:eastAsia="ru-RU"/>
              </w:rPr>
              <w:t>RRP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eastAsia="ru-RU"/>
              </w:rPr>
              <w:t>20-3-05- 220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val="en-US" w:eastAsia="ru-RU"/>
              </w:rPr>
              <w:t>A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модульный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IP40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220(230) В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тока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контактов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Габариты без упаковки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20.5х42х27 мм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IEC 60947-1-2014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</w:rPr>
              <w:t>3</w:t>
            </w:r>
          </w:p>
        </w:tc>
        <w:tc>
          <w:tcPr>
            <w:tcW w:w="11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 ARPV-12100-A1 (12V, 8.3A, 100W) (Arlight, IP67 Металл, 3 года) 032316 (или эквивалент)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Выходная мощность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max: 100 W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Выходной ток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max: 8,3 A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Выходное напряжение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typ: 12 V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Входное напряжение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min: 176 V; max: 264 V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Потребляемый ток от сети AC230В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max: 0,74 A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Коэффициент мощности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Рабочая температура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min: -40 °C; max: 70 °C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152 мм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37.5 мм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мм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Пусковой ток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 A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Длительность пускового тока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 мкс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Тип подключения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 корпуса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Узкий длинный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Особенность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Влагозащищённый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Использование с управлением ШИМ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Шумные помещения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 пылевлагозащиты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IP67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ARPV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Коробка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ПУ ТРЕЗОР-В04 пульт управления</w:t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TREZOR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Рабочая температура °C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-20...+50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IP55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0.25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200x90x60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Вибрационное средство обнаружения ТРЕЗОРВ04</w:t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Количество каналов обнаружения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4 канала*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Длина чувствительного кабеля на 1 канал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до 1000 м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Релейные выходы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4 выхода "Тревога" (по 1 на канал обнаружения)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110801"/>
                <w:sz w:val="24"/>
                <w:szCs w:val="24"/>
              </w:rPr>
              <w:t>1 выход "Вскрытие корпуса"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Нагрузка контактов реле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30 В / 100 мА переменного или постоянного тока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Интерфейс обмена данными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«RS-485»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Вероятность обнаружения, не менее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0,98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Наработка на ложную тревогу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не менее 1500 ч.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10...30 В постоянного тока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Ток потребления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не более 25 мА при 24В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110801"/>
                <w:sz w:val="24"/>
                <w:szCs w:val="24"/>
              </w:rPr>
              <w:t>при подключенном ПУ-В не более 32 мА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-60...+60°C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108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10801"/>
                <w:sz w:val="24"/>
                <w:szCs w:val="24"/>
                <w:lang w:eastAsia="ru-RU"/>
              </w:rPr>
              <w:t>Герметизация корпуса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110801"/>
                <w:sz w:val="24"/>
                <w:szCs w:val="24"/>
              </w:rPr>
            </w:pPr>
            <w:r>
              <w:rPr>
                <w:rFonts w:ascii="Times New Roman" w:hAnsi="Times New Roman"/>
                <w:color w:val="110801"/>
                <w:sz w:val="24"/>
                <w:szCs w:val="24"/>
              </w:rPr>
              <w:t>IP65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ТРЕЗОР-В-04 плата НЧ канала</w:t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roboto ltregular;arial;sans-ser" w:hAnsi="roboto ltregular;arial;sans-ser"/>
                <w:color w:val="000000"/>
                <w:sz w:val="20"/>
                <w:szCs w:val="24"/>
              </w:rPr>
            </w:pPr>
            <w:hyperlink r:id="rId3">
              <w:r>
                <w:rPr>
                  <w:rStyle w:val="1"/>
                  <w:rFonts w:ascii="Times New Roman" w:hAnsi="Times New Roman"/>
                  <w:color w:val="000000"/>
                  <w:sz w:val="24"/>
                  <w:szCs w:val="24"/>
                </w:rPr>
                <w:t>Трезор</w:t>
              </w:r>
            </w:hyperlink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УСС 40 Катана, КСС "Ш1-1", консольное крепление, 4500К  (или эквивалент)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Световой поток с прозрачным стеклом, лм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6000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Эффективность светильника, лм/Вт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150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Класс светораспределения по ГОСТ Р 54350-2015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Индекс цветопередачи не менее, Ra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70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Тип кривой силы света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Ш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Коррелированная цветовая температура, К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4000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Производитель светодиодов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Nichia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Потребляемая мощность в номинальном режиме, Вт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Напряжение, В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AC170-264/DC200-370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Потребляемый ток, не более, 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0,15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Класс защиты от поражения электрическим током по ГОСТ Р МЭК 60598-1-2011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I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Эмиссия гармонических составляющих в сеть/эфир по ГОСТ 30804.3.2-2013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соотв.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Коэффициент мощности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0,98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Частота питающей сети, Гц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0;50;60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Функция защиты от перегрева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Класс энергетической эффективности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Диаметр сетевого кабеля, мм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от 5 до 6,5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Выходной интерфейс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Wiegand; Parsec; Touch Memory; OSDP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считывания, см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1…5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 потребления, мА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В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AC160-280/DC200-370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 корпуса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IP67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-40…+55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Габаритные размеры. мм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359х150х102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УСС 24 Магистраль, КСС "Ш1-2", крепление скоба, 4000К  (или эквивалент)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Световой поток с прозрачным стеклом, лм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2160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Эффективность светильника, лм/Вт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90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Класс светораспределения по ГОСТ Р 54350-2015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Индекс цветопередачи не менее, Ra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70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Тип кривой силы света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Ш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Коррелированная цветовая температура, К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4000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Производитель светодиодов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Nichia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Потребляемая мощность в номинальном режиме, Вт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Напряжение, В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AC170-264/DC200-370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Напряжение, В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Потребляемый ток, не более, 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0,15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Класс защиты от поражения электрическим током по ГОСТ Р МЭК 60598-1-2011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I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Эмиссия гармонических составляющих в сеть/эфир по ГОСТ 30804.3.2-2013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соотв.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Коэффициент мощности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0,8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Частота питающей сети, Гц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0;50;60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Функция защиты от перегрева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Класс энергетической эффективности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Диаметр сетевого кабеля, мм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от 5 до 6,5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8.19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Размеры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Без упаковки, с креплением скоба, мм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268х214х98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Контактор IEK КМИ-11211, 12А, 220В, ИЭК, KKM11-012-230-01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модульный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ток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Номинальная мощность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ViSans;Arial;sans-serif" w:hAnsi="ViSans;Arial;sans-serif"/>
                <w:color w:val="1C2126"/>
                <w:sz w:val="21"/>
                <w:szCs w:val="24"/>
              </w:rPr>
              <w:t>7.5 кВт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рабочее напряжение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220(230)/380(400)/660 В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Съемный литиевый аккумулятор, 2300 мА*ч</w:t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Onest;arial;sans-serif" w:hAnsi="Onest;arial;sans-serif"/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A34"/>
                <w:sz w:val="24"/>
                <w:szCs w:val="24"/>
              </w:rPr>
              <w:t>7.4В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Onest;arial;sans-serif" w:hAnsi="Onest;arial;sans-serif"/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>
              <w:rPr>
                <w:rFonts w:ascii="Times New Roman" w:hAnsi="Times New Roman"/>
                <w:color w:val="424242"/>
                <w:sz w:val="24"/>
                <w:szCs w:val="24"/>
              </w:rPr>
              <w:t>2300 мА*ч / 17 020 мВт*ч;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Onest;arial;sans-serif" w:hAnsi="Onest;arial;sans-serif"/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Зарядный порт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>
              <w:rPr>
                <w:rFonts w:ascii="Times New Roman" w:hAnsi="Times New Roman"/>
                <w:color w:val="424242"/>
                <w:sz w:val="24"/>
                <w:szCs w:val="24"/>
              </w:rPr>
              <w:t>DC 7.4В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Onest;arial;sans-serif" w:hAnsi="Onest;arial;sans-serif"/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температуры: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>
              <w:rPr>
                <w:rFonts w:ascii="Times New Roman" w:hAnsi="Times New Roman"/>
                <w:color w:val="15181A"/>
                <w:sz w:val="24"/>
                <w:szCs w:val="24"/>
              </w:rPr>
              <w:t>от -20°C до +60°C;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Onest;arial;sans-serif" w:hAnsi="Onest;arial;sans-serif"/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Габариты: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>
              <w:rPr>
                <w:rFonts w:ascii="Times New Roman" w:hAnsi="Times New Roman"/>
                <w:color w:val="15181A"/>
                <w:sz w:val="24"/>
                <w:szCs w:val="24"/>
              </w:rPr>
              <w:t>100 х 100 х 60 мм;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Трехпортовая зарядная станция для обнаружителей 3mx</w:t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Модель: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CSP3-8400-1000;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Входное напряжение: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DC 12В;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Максимальный входной ток: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Метод заряда: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СС-CV;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Выходное напряжение: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DC 8.4В;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Максимальный выходной ток: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общий — 3000 мА, на 1 порт — 1000 мА;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Индикатор работы: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светодиода на каждый зарядный порт (красный — идет зарядка, зеленый — зарядка завершена);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195 г.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зарядное устройство для обнаружителей 3mx, 8.4В-1А</w:t>
            </w:r>
          </w:p>
        </w:tc>
      </w:tr>
      <w:tr>
        <w:trPr/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Входное напряжение:</w:t>
            </w:r>
          </w:p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 110/230В;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Частота сети питания: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50/60 Гц;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Выходное напряжение:</w:t>
            </w:r>
          </w:p>
          <w:p>
            <w:pPr>
              <w:pStyle w:val="Style19"/>
              <w:widowControl w:val="false"/>
              <w:spacing w:lineRule="auto" w:line="240" w:before="0" w:after="200"/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DC 8.4В;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Ток заряда:</w:t>
            </w:r>
          </w:p>
          <w:p>
            <w:pPr>
              <w:pStyle w:val="Style19"/>
              <w:widowControl w:val="false"/>
              <w:spacing w:lineRule="auto" w:line="240" w:before="0" w:after="200"/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заряда от блока питания:</w:t>
            </w:r>
          </w:p>
          <w:p>
            <w:pPr>
              <w:pStyle w:val="Style19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 4.5 ч;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Разъем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200"/>
              <w:rPr/>
            </w:pP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DC 3.5 мм (штекер);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766" w:right="720" w:gutter="0" w:header="0" w:top="720" w:footer="709" w:bottom="766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Вся поставляемая продукция должна соответствовать требованиям ГОСТов, ТУ, указанных в настоящих ТТ, и иметь сертификаты соответствия государственных органов (Система сертификации ГОСТ Госстандарт России) и, если это дополнительно указано в настоящих ТТ, сертификаты соответствия, выданные отраслевыми органами сертификации.</w:t>
      </w: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Продукция должна соответствовать государственным санитарно-эпидемиологическим заключениям.</w:t>
      </w: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Наличие сертификатов соответствия и санитарно-эпидемиологическое заключение на предоставляемую продукцию обязательно.</w:t>
      </w: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Продукция без документов не принимается, ответственность за его сохранность Заказчик не несет.</w:t>
      </w: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Качество поставляемой продукции, его производители должны соответствовать качеству и списку производителей, заявленных Поставщиком в Открытом запросе предложений.</w:t>
      </w: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Упаковка продукции должна обеспечивать его сохранность при транспортировке и хранении.</w:t>
      </w: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Срок гарантии поставщика не менее одного года с момента поставки. Указать, что входит в гарантийные обязательства. Год выпуска товаров 4 кв. 2025 – 1 кв. 2026 года.</w:t>
      </w:r>
    </w:p>
    <w:p>
      <w:pPr>
        <w:pStyle w:val="Normal"/>
        <w:tabs>
          <w:tab w:val="clear" w:pos="720"/>
          <w:tab w:val="left" w:pos="1134" w:leader="none"/>
        </w:tabs>
        <w:spacing w:before="0" w:after="0"/>
        <w:ind w:left="709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Heading2"/>
        <w:tabs>
          <w:tab w:val="clear" w:pos="720"/>
          <w:tab w:val="left" w:pos="1134" w:leader="none"/>
        </w:tabs>
        <w:spacing w:lineRule="auto" w:line="276" w:beforeAutospacing="0" w:before="0" w:afterAutospacing="0" w:after="0"/>
        <w:ind w:left="425" w:firstLine="709"/>
        <w:rPr>
          <w:sz w:val="24"/>
          <w:szCs w:val="28"/>
        </w:rPr>
      </w:pPr>
      <w:bookmarkStart w:id="43" w:name="_Toc229561369"/>
      <w:bookmarkStart w:id="44" w:name="_Toc225251167"/>
      <w:r>
        <w:rPr>
          <w:sz w:val="24"/>
          <w:szCs w:val="28"/>
        </w:rPr>
        <w:t>2.3. Требования к цене продукции</w:t>
      </w:r>
      <w:bookmarkEnd w:id="43"/>
      <w:bookmarkEnd w:id="44"/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/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 и соответствовать среднерыночной стоимости продукции по региону.</w:t>
      </w:r>
    </w:p>
    <w:p>
      <w:pPr>
        <w:pStyle w:val="ListParagraph"/>
        <w:tabs>
          <w:tab w:val="clear" w:pos="720"/>
          <w:tab w:val="left" w:pos="1134" w:leader="none"/>
        </w:tabs>
        <w:spacing w:before="0" w:after="0"/>
        <w:ind w:left="709" w:firstLine="709"/>
        <w:contextualSpacing/>
        <w:jc w:val="both"/>
        <w:rPr/>
      </w:pPr>
      <w:r>
        <w:rPr/>
      </w:r>
    </w:p>
    <w:p>
      <w:pPr>
        <w:pStyle w:val="Heading2"/>
        <w:tabs>
          <w:tab w:val="clear" w:pos="720"/>
          <w:tab w:val="left" w:pos="1134" w:leader="none"/>
        </w:tabs>
        <w:spacing w:lineRule="auto" w:line="276" w:beforeAutospacing="0" w:before="0" w:afterAutospacing="0" w:after="0"/>
        <w:ind w:left="425" w:firstLine="709"/>
        <w:rPr>
          <w:sz w:val="24"/>
          <w:szCs w:val="28"/>
        </w:rPr>
      </w:pPr>
      <w:bookmarkStart w:id="45" w:name="_Toc229561370"/>
      <w:bookmarkStart w:id="46" w:name="_Toc225251168"/>
      <w:r>
        <w:rPr>
          <w:sz w:val="24"/>
          <w:szCs w:val="28"/>
        </w:rPr>
        <w:t>2.4. Требования к доставке продукции</w:t>
      </w:r>
      <w:bookmarkEnd w:id="45"/>
      <w:bookmarkEnd w:id="46"/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Доставка Продукции до склада Заказчика. в объеме и на сумму, указанную в заявке Заказчика, осуществляется по адресу: 369244, Карачаево-Черкесская Республика, Карачаевский район, пос. Правокубанский, Филиал «ПАО РусГидро» - «Карачаево-Черкесский филиал».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720" w:right="720" w:gutter="0" w:header="0" w:top="720" w:footer="709" w:bottom="766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roboto ltregular">
    <w:altName w:val="arial"/>
    <w:charset w:val="01"/>
    <w:family w:val="roman"/>
    <w:pitch w:val="variable"/>
  </w:font>
  <w:font w:name="ViSans">
    <w:altName w:val="Arial"/>
    <w:charset w:val="01"/>
    <w:family w:val="roman"/>
    <w:pitch w:val="variable"/>
  </w:font>
  <w:font w:name="Onest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22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4e2d39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c8313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Title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0e534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basedOn w:val="DefaultParagraphFont"/>
    <w:uiPriority w:val="99"/>
    <w:unhideWhenUsed/>
    <w:qFormat/>
    <w:rsid w:val="00a350ea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92679c"/>
    <w:rPr/>
  </w:style>
  <w:style w:type="character" w:styleId="Textmenuramka" w:customStyle="1">
    <w:name w:val="text_menu_ramka"/>
    <w:basedOn w:val="DefaultParagraphFont"/>
    <w:qFormat/>
    <w:rsid w:val="0092679c"/>
    <w:rPr/>
  </w:style>
  <w:style w:type="character" w:styleId="2" w:customStyle="1">
    <w:name w:val="Заголовок 2 Знак"/>
    <w:basedOn w:val="DefaultParagraphFont"/>
    <w:uiPriority w:val="9"/>
    <w:qFormat/>
    <w:rsid w:val="00c831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1" w:customStyle="1">
    <w:name w:val="Strong1"/>
    <w:basedOn w:val="DefaultParagraphFont"/>
    <w:uiPriority w:val="22"/>
    <w:qFormat/>
    <w:rsid w:val="00c83136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4e2d3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db0dde"/>
    <w:rPr>
      <w:rFonts w:ascii="Segoe UI" w:hAnsi="Segoe UI" w:cs="Segoe UI"/>
      <w:sz w:val="18"/>
      <w:szCs w:val="18"/>
    </w:rPr>
  </w:style>
  <w:style w:type="character" w:styleId="Style6" w:customStyle="1">
    <w:name w:val="Текст сноски Знак"/>
    <w:basedOn w:val="DefaultParagraphFont"/>
    <w:uiPriority w:val="99"/>
    <w:semiHidden/>
    <w:qFormat/>
    <w:rsid w:val="00453d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sid w:val="00453d58"/>
    <w:rPr>
      <w:vertAlign w:val="superscript"/>
    </w:rPr>
  </w:style>
  <w:style w:type="character" w:styleId="Style8" w:customStyle="1">
    <w:name w:val="Нижний колонтитул Знак"/>
    <w:basedOn w:val="DefaultParagraphFont"/>
    <w:uiPriority w:val="99"/>
    <w:qFormat/>
    <w:rsid w:val="00cb753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c75c4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9c75c4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9c75c4"/>
    <w:rPr>
      <w:b/>
      <w:bCs/>
      <w:sz w:val="20"/>
      <w:szCs w:val="20"/>
    </w:rPr>
  </w:style>
  <w:style w:type="character" w:styleId="4" w:customStyle="1">
    <w:name w:val="Заголовок 4 Знак"/>
    <w:basedOn w:val="DefaultParagraphFont"/>
    <w:uiPriority w:val="9"/>
    <w:qFormat/>
    <w:rsid w:val="000e534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Style11" w:customStyle="1">
    <w:name w:val="Маркеры"/>
    <w:qFormat/>
    <w:rPr>
      <w:rFonts w:ascii="OpenSymbol" w:hAnsi="OpenSymbol" w:eastAsia="OpenSymbol" w:cs="OpenSymbol"/>
    </w:rPr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Linenumber">
    <w:name w:val="line number"/>
    <w:qFormat/>
    <w:rPr/>
  </w:style>
  <w:style w:type="character" w:styleId="Strong2" w:customStyle="1">
    <w:name w:val="Strong2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Style13" w:customStyle="1">
    <w:name w:val="Абзац списка Знак"/>
    <w:link w:val="ListParagraph"/>
    <w:uiPriority w:val="34"/>
    <w:qFormat/>
    <w:locked/>
    <w:rsid w:val="00a536d5"/>
    <w:rPr/>
  </w:style>
  <w:style w:type="character" w:styleId="Hyperlink">
    <w:name w:val="Hyperlink"/>
    <w:basedOn w:val="DefaultParagraphFont"/>
    <w:uiPriority w:val="99"/>
    <w:unhideWhenUsed/>
    <w:rsid w:val="00a536d5"/>
    <w:rPr>
      <w:color w:val="0000FF" w:themeColor="hyperlink"/>
      <w:u w:val="singl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oSpacing">
    <w:name w:val="No Spacing"/>
    <w:uiPriority w:val="1"/>
    <w:qFormat/>
    <w:rsid w:val="00b85cc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c83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9d368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Style13"/>
    <w:uiPriority w:val="34"/>
    <w:qFormat/>
    <w:rsid w:val="00ce71a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db0dd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Style6"/>
    <w:uiPriority w:val="99"/>
    <w:semiHidden/>
    <w:rsid w:val="00453d5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8"/>
    <w:uiPriority w:val="99"/>
    <w:unhideWhenUsed/>
    <w:rsid w:val="00cb7533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9c75c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9c75c4"/>
    <w:pPr/>
    <w:rPr>
      <w:b/>
      <w:bCs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Style21" w:customStyle="1">
    <w:name w:val="Содержимое списка"/>
    <w:basedOn w:val="Normal"/>
    <w:qFormat/>
    <w:pPr>
      <w:ind w:left="567" w:hanging="0"/>
    </w:pPr>
    <w:rPr/>
  </w:style>
  <w:style w:type="paragraph" w:styleId="Style22" w:customStyle="1">
    <w:name w:val="Заголовок списка"/>
    <w:basedOn w:val="Normal"/>
    <w:next w:val="Style21"/>
    <w:qFormat/>
    <w:pPr/>
    <w:rPr/>
  </w:style>
  <w:style w:type="paragraph" w:styleId="Style2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4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a536d5"/>
    <w:pPr>
      <w:suppressAutoHyphens w:val="false"/>
      <w:spacing w:lineRule="auto" w:line="259"/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a536d5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a536d5"/>
    <w:pPr>
      <w:spacing w:before="0" w:after="100"/>
      <w:ind w:left="22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025a44"/>
    <w:pPr>
      <w:suppressAutoHyphens w:val="false"/>
      <w:spacing w:lineRule="auto" w:line="259" w:before="0" w:after="100"/>
      <w:ind w:left="440" w:hanging="0"/>
    </w:pPr>
    <w:rPr>
      <w:rFonts w:eastAsia="" w:cs="Times New Roman" w:eastAsiaTheme="minorEastAsia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3"/>
    <w:uiPriority w:val="59"/>
    <w:rsid w:val="00b85c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tdatm.ru/brands/trezor/" TargetMode="Externa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default"/>
  </w:font>
  <w:font w:name="Arial Unicode MS">
    <w:altName w:val="Arial"/>
    <w:panose1 w:val="020B06040202020202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roboto ltregular;arial;sans-ser">
    <w:altName w:val="Times New Roman"/>
    <w:panose1 w:val="00000000000000000000"/>
    <w:charset w:val="00"/>
    <w:family w:val="roman"/>
    <w:notTrueType/>
    <w:pitch w:val="default"/>
  </w:font>
  <w:font w:name="ViSans;Arial;sans-serif">
    <w:altName w:val="Times New Roman"/>
    <w:panose1 w:val="00000000000000000000"/>
    <w:charset w:val="00"/>
    <w:family w:val="roman"/>
    <w:notTrueType/>
    <w:pitch w:val="default"/>
  </w:font>
  <w:font w:name="Onest;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D1"/>
    <w:rsid w:val="002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97660206AC4CE0BF5B1FDBF575D758">
    <w:name w:val="9297660206AC4CE0BF5B1FDBF575D758"/>
    <w:rsid w:val="002939D1"/>
  </w:style>
  <w:style w:type="paragraph" w:customStyle="1" w:styleId="1A0A385FA07B4113AE62216E2CE08DCC">
    <w:name w:val="1A0A385FA07B4113AE62216E2CE08DCC"/>
    <w:rsid w:val="002939D1"/>
  </w:style>
  <w:style w:type="paragraph" w:customStyle="1" w:styleId="6066ED643D28447A98F008B892876786">
    <w:name w:val="6066ED643D28447A98F008B892876786"/>
    <w:rsid w:val="00293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2DBE-C686-48F4-B21E-D5B1981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9983</TotalTime>
  <Application>AlterOffice/3.4.0.9$Linux_X86_64 LibreOffice_project/b8daf9e823b1a5463a2f48435ddc2e8696e7d4fc</Application>
  <AppVersion>15.0000</AppVersion>
  <Pages>16</Pages>
  <Words>2095</Words>
  <Characters>13167</Characters>
  <CharactersWithSpaces>14650</CharactersWithSpaces>
  <Paragraphs>641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2020-05-12T14:40:00Z</dcterms:created>
  <dc:creator>Шепенев Александр Константинович</dc:creator>
  <dc:description/>
  <dc:language>ru-RU</dc:language>
  <cp:lastModifiedBy>zabelkinans@corp.gidroogk.com</cp:lastModifiedBy>
  <cp:lastPrinted>2026-02-19T10:23:00Z</cp:lastPrinted>
  <dcterms:modified xsi:type="dcterms:W3CDTF">2026-05-13T11:07:51Z</dcterms:modified>
  <cp:revision>477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