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bookmarkStart w:id="0" w:name="_Toc124591877"/>
      <w:bookmarkStart w:id="1" w:name="_Toc124846883"/>
      <w:bookmarkStart w:id="2" w:name="_Toc124592000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ОКПД2: 26.40.33.111 Поставка IP камер системы охранного телевидения 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/>
            </w:rPr>
            <w:fldChar w:fldCharType="separate"/>
          </w:r>
          <w:hyperlink w:anchor="_Toc150939782">
            <w:r>
              <w:rPr>
                <w:webHidden/>
                <w:rStyle w:val="Style15"/>
                <w:rFonts w:eastAsia="Calibri"/>
                <w:vanish w:val="false"/>
              </w:rPr>
              <w:t>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3">
            <w:r>
              <w:rPr>
                <w:webHidden/>
                <w:rStyle w:val="Style15"/>
                <w:rFonts w:eastAsia="Calibri"/>
                <w:iCs/>
                <w:vanish w:val="false"/>
              </w:rPr>
              <w:t>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iCs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Calibri"/>
                <w:iCs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3">
            <w:r>
              <w:rPr>
                <w:webHidden/>
                <w:rStyle w:val="Style15"/>
                <w:rFonts w:eastAsia="Calibri"/>
                <w:iCs/>
                <w:vanish w:val="false"/>
              </w:rPr>
              <w:t>1.</w:t>
            </w:r>
            <w:r>
              <w:rPr>
                <w:rStyle w:val="Style15"/>
                <w:rFonts w:eastAsia="Calibri"/>
                <w:iCs/>
              </w:rPr>
              <w:t>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4">
            <w:r>
              <w:rPr>
                <w:webHidden/>
                <w:rStyle w:val="Style15"/>
                <w:rFonts w:eastAsia="Calibri"/>
                <w:iCs/>
                <w:vanish w:val="false"/>
              </w:rPr>
              <w:t>1.</w:t>
            </w:r>
            <w:r>
              <w:rPr>
                <w:rStyle w:val="Style15"/>
                <w:rFonts w:eastAsia="Calibri"/>
                <w:iCs/>
              </w:rPr>
              <w:t>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5">
            <w:r>
              <w:rPr>
                <w:webHidden/>
                <w:rStyle w:val="Style15"/>
                <w:rFonts w:eastAsia="Calibri"/>
                <w:vanish w:val="false"/>
              </w:rPr>
              <w:t>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6">
            <w:r>
              <w:rPr>
                <w:webHidden/>
                <w:rStyle w:val="Style15"/>
                <w:rFonts w:eastAsia="Calibri"/>
                <w:iCs/>
                <w:vanish w:val="false"/>
              </w:rPr>
              <w:t>2.1.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7">
            <w:r>
              <w:rPr>
                <w:webHidden/>
                <w:rStyle w:val="Style15"/>
                <w:rFonts w:eastAsia="Calibri"/>
                <w:vanish w:val="false"/>
              </w:rPr>
              <w:t>2.1.1.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8">
            <w:r>
              <w:rPr>
                <w:webHidden/>
                <w:rStyle w:val="Style15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sz w:val="22"/>
              <w:szCs w:val="22"/>
              <w14:ligatures w14:val="standardContextual"/>
            </w:rPr>
          </w:pPr>
          <w:hyperlink w:anchor="_Toc141728500">
            <w:r>
              <w:rPr>
                <w:webHidden/>
                <w:rStyle w:val="Style15"/>
                <w:vanish w:val="false"/>
              </w:rPr>
              <w:t xml:space="preserve">Таблица 1.2 Перечень и объем закупаемых сопутствующих </w:t>
            </w:r>
            <w:r>
              <w:rPr>
                <w:rStyle w:val="Style15"/>
                <w:lang w:val="en-US"/>
              </w:rPr>
              <w:t>у</w:t>
            </w:r>
            <w:r>
              <w:rPr>
                <w:rStyle w:val="Style15"/>
              </w:rPr>
              <w:t>слуг…………………………</w:t>
            </w:r>
          </w:hyperlink>
          <w:r>
            <w:rPr>
              <w:lang w:val="en-US"/>
            </w:rPr>
            <w:t>...</w:t>
          </w:r>
          <w:r>
            <w:rPr/>
            <w:t>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2"/>
              <w:szCs w:val="22"/>
              <w14:ligatures w14:val="standardContextual"/>
            </w:rPr>
          </w:pPr>
          <w:hyperlink w:anchor="_Toc141728501">
            <w:r>
              <w:rPr>
                <w:webHidden/>
                <w:rStyle w:val="Style15"/>
                <w:rFonts w:eastAsia="Calibri"/>
                <w:vanish w:val="false"/>
              </w:rPr>
              <w:t>2.1.2.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rStyle w:val="Style15"/>
                <w:rFonts w:eastAsia="Calibri"/>
              </w:rPr>
              <w:t>Требования к срокам поставки продукции и оказания сопутствующих услуг</w:t>
              <w:tab/>
            </w:r>
          </w:hyperlink>
          <w:hyperlink w:anchor="_Toc1509397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eastAsia="Calibri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0">
            <w:r>
              <w:rPr>
                <w:webHidden/>
                <w:rStyle w:val="Style15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91">
            <w:r>
              <w:rPr>
                <w:webHidden/>
                <w:rStyle w:val="Style15"/>
                <w:rFonts w:eastAsia="Calibri"/>
                <w:iCs/>
                <w:vanish w:val="false"/>
              </w:rPr>
              <w:t>2.2.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качеству продукции</w:t>
            </w:r>
            <w:r>
              <w:rPr>
                <w:rStyle w:val="Style15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sz w:val="22"/>
              <w:szCs w:val="22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2">
            <w:r>
              <w:rPr>
                <w:webHidden/>
                <w:rStyle w:val="Style15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3">
            <w:r>
              <w:rPr>
                <w:webHidden/>
                <w:rStyle w:val="Style15"/>
                <w:rFonts w:eastAsia="Calibri"/>
                <w:vanish w:val="false"/>
              </w:rPr>
              <w:t>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5"/>
              </w:rPr>
              <w:tab/>
            </w:r>
          </w:hyperlink>
          <w:hyperlink w:anchor="_Toc1509397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</w:rPr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19"/>
        </w:numPr>
        <w:rPr/>
      </w:pPr>
      <w:bookmarkStart w:id="3" w:name="_Toc124846884"/>
      <w:r>
        <w:rPr>
          <w:iCs/>
        </w:rPr>
        <w:t>Общие</w:t>
      </w:r>
      <w:r>
        <w:rPr/>
        <w:t xml:space="preserve"> сведения</w:t>
      </w:r>
      <w:bookmarkEnd w:id="3"/>
    </w:p>
    <w:p>
      <w:pPr>
        <w:pStyle w:val="Heading4"/>
        <w:numPr>
          <w:ilvl w:val="1"/>
          <w:numId w:val="20"/>
        </w:numPr>
        <w:ind w:left="709" w:hanging="709"/>
        <w:rPr/>
      </w:pPr>
      <w:r>
        <w:rPr/>
        <w:t>Обозначения и сокращения</w:t>
      </w:r>
    </w:p>
    <w:tbl>
      <w:tblPr>
        <w:tblW w:w="9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1"/>
        <w:gridCol w:w="7896"/>
      </w:tblGrid>
      <w:tr>
        <w:trPr>
          <w:trHeight w:val="354" w:hRule="atLeast"/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Организация осуществляющая поставку оборудования</w:t>
            </w:r>
          </w:p>
        </w:tc>
      </w:tr>
      <w:tr>
        <w:trPr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right="304" w:hanging="0"/>
              <w:jc w:val="both"/>
              <w:rPr>
                <w:rFonts w:cs="Times New Roman (???????? ?????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 (???????? ?????"/>
                <w:color w:val="000000"/>
                <w:sz w:val="24"/>
                <w:szCs w:val="24"/>
                <w:lang w:eastAsia="en-US"/>
              </w:rPr>
              <w:t>Представитель Поставщика, осуществляющий оказание сопутствующих услуг.</w:t>
            </w:r>
          </w:p>
        </w:tc>
      </w:tr>
      <w:tr>
        <w:trPr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hanging="0"/>
              <w:jc w:val="both"/>
              <w:rPr>
                <w:rStyle w:val="Style8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  <w:lang w:val="en-US"/>
              </w:rPr>
              <w:t>ОТ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hanging="0"/>
              <w:jc w:val="both"/>
              <w:rPr/>
            </w:pPr>
            <w:r>
              <w:rPr>
                <w:rFonts w:cs="Times New Roman (???????? ?????"/>
                <w:color w:val="000000"/>
                <w:sz w:val="24"/>
                <w:szCs w:val="24"/>
                <w:lang w:eastAsia="en-US"/>
              </w:rPr>
              <w:t xml:space="preserve">Система </w:t>
            </w:r>
            <w:r>
              <w:rPr>
                <w:rFonts w:cs="Times New Roman (???????? ?????"/>
                <w:iCs/>
                <w:color w:val="000000"/>
                <w:sz w:val="24"/>
                <w:szCs w:val="24"/>
                <w:lang w:val="en-US" w:eastAsia="en-US"/>
              </w:rPr>
              <w:t>охранного телевидения</w:t>
            </w:r>
          </w:p>
        </w:tc>
      </w:tr>
    </w:tbl>
    <w:p>
      <w:pPr>
        <w:pStyle w:val="Heading4"/>
        <w:numPr>
          <w:ilvl w:val="1"/>
          <w:numId w:val="21"/>
        </w:numPr>
        <w:ind w:left="709" w:hanging="709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both"/>
        <w:rPr>
          <w:sz w:val="24"/>
          <w:szCs w:val="24"/>
        </w:rPr>
      </w:pPr>
      <w:bookmarkStart w:id="6" w:name="_Toc75446569"/>
      <w:r>
        <w:rPr>
          <w:sz w:val="24"/>
          <w:szCs w:val="24"/>
        </w:rPr>
        <w:t>ОКПД2: 26.40.33.111 Поставка IP камер системы охранного телевидения.</w:t>
      </w:r>
    </w:p>
    <w:p>
      <w:pPr>
        <w:pStyle w:val="Heading4"/>
        <w:numPr>
          <w:ilvl w:val="1"/>
          <w:numId w:val="22"/>
        </w:numPr>
        <w:ind w:left="709" w:hanging="709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договора № 1-ТПИР-ИТ-2023-ВотГЭС от 14.12.2023 года «Поставка, монтаж, наладка системы технологического видеонаблюдения филиала ПАО «РусГидро» - «Воткинская ГЭС»», заключенный между филиалом ПАО «РусГидро» - «Воткинская ГЭС» и Воткинским филиалом АО «Гидроремонт-ВКК» в г. Чайковский.</w:t>
      </w:r>
    </w:p>
    <w:p>
      <w:pPr>
        <w:pStyle w:val="Heading1"/>
        <w:numPr>
          <w:ilvl w:val="0"/>
          <w:numId w:val="23"/>
        </w:numPr>
        <w:ind w:left="709" w:hanging="709"/>
        <w:rPr>
          <w:caps/>
          <w:lang w:val="ru-RU"/>
        </w:rPr>
      </w:pPr>
      <w:bookmarkStart w:id="8" w:name="_Toc75446573"/>
      <w:bookmarkStart w:id="9" w:name="_Toc51339693"/>
      <w:bookmarkStart w:id="10" w:name="_Toc124846885"/>
      <w:bookmarkStart w:id="11" w:name="_Toc46743510"/>
      <w:bookmarkStart w:id="12" w:name="_Toc50125126"/>
      <w:bookmarkEnd w:id="11"/>
      <w:bookmarkEnd w:id="12"/>
      <w:r>
        <w:rPr/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24"/>
        </w:numPr>
        <w:ind w:left="709" w:hanging="709"/>
        <w:rPr/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25"/>
        </w:numPr>
        <w:ind w:left="709" w:hanging="709"/>
        <w:rPr/>
      </w:pPr>
      <w:bookmarkStart w:id="14" w:name="_Toc124846886"/>
      <w:bookmarkStart w:id="15" w:name="_Toc75446575"/>
      <w:r>
        <w:rPr/>
        <w:t>Перечень и объем закупаемой продукции</w:t>
      </w:r>
      <w:bookmarkEnd w:id="14"/>
      <w:bookmarkEnd w:id="15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6" w:name="_Toc124846887"/>
      <w:bookmarkStart w:id="17" w:name="_Toc124591777"/>
      <w:bookmarkStart w:id="18" w:name="_Toc75446576"/>
      <w:bookmarkStart w:id="19" w:name="_Toc124591881"/>
      <w:bookmarkStart w:id="20" w:name="_Toc51339695"/>
      <w:r>
        <w:rPr>
          <w:sz w:val="24"/>
          <w:szCs w:val="24"/>
        </w:rPr>
        <w:t xml:space="preserve">Таблица 1.1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6"/>
      <w:bookmarkEnd w:id="17"/>
      <w:bookmarkEnd w:id="18"/>
      <w:bookmarkEnd w:id="19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4"/>
        <w:gridCol w:w="6521"/>
        <w:gridCol w:w="1275"/>
        <w:gridCol w:w="1277"/>
      </w:tblGrid>
      <w:tr>
        <w:trPr>
          <w:trHeight w:val="641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к</w:t>
            </w:r>
            <w:r>
              <w:rPr>
                <w:sz w:val="24"/>
                <w:szCs w:val="24"/>
              </w:rPr>
              <w:t>амера Beward SV81716RZX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</w:p>
        </w:tc>
      </w:tr>
    </w:tbl>
    <w:p>
      <w:pPr>
        <w:pStyle w:val="Heading3"/>
        <w:numPr>
          <w:ilvl w:val="2"/>
          <w:numId w:val="26"/>
        </w:numPr>
        <w:ind w:left="709" w:hanging="709"/>
        <w:rPr/>
      </w:pPr>
      <w:bookmarkStart w:id="21" w:name="_Toc124846888"/>
      <w:bookmarkStart w:id="22" w:name="_Toc51339696"/>
      <w:r>
        <w:rPr/>
        <w:t xml:space="preserve">Требования </w:t>
      </w:r>
      <w:bookmarkEnd w:id="22"/>
      <w:r>
        <w:rPr/>
        <w:t>к срокам поставки продукции</w:t>
      </w:r>
      <w:bookmarkEnd w:id="21"/>
      <w:r>
        <w:rPr/>
        <w:t xml:space="preserve">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75446579"/>
      <w:bookmarkStart w:id="24" w:name="_Toc124591779"/>
      <w:bookmarkStart w:id="25" w:name="_Toc124591883"/>
      <w:bookmarkStart w:id="26" w:name="_Toc124846889"/>
      <w:bookmarkStart w:id="27" w:name="_Toc50125127"/>
      <w:bookmarkStart w:id="28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bookmarkEnd w:id="25"/>
      <w:bookmarkEnd w:id="26"/>
      <w:r>
        <w:rPr>
          <w:b w:val="false"/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8"/>
        <w:gridCol w:w="3710"/>
        <w:gridCol w:w="2666"/>
        <w:gridCol w:w="2696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jc w:val="center"/>
              <w:rPr/>
            </w:pPr>
            <w:r>
              <w:rPr/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IP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к</w:t>
            </w:r>
            <w:r>
              <w:rPr>
                <w:sz w:val="24"/>
                <w:szCs w:val="24"/>
              </w:rPr>
              <w:t>амера Beward SV81716RZX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подписания договора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 позднее 30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lineRule="auto" w:line="360"/>
        <w:rPr>
          <w:b/>
          <w:sz w:val="24"/>
        </w:rPr>
      </w:pPr>
      <w:bookmarkStart w:id="30" w:name="_GoBack_Копия_1"/>
      <w:bookmarkEnd w:id="30"/>
      <w:r>
        <w:rPr>
          <w:b/>
          <w:sz w:val="24"/>
        </w:rPr>
        <w:t>2.2.</w:t>
        <w:tab/>
        <w:t>Требования к качеству продукции.</w:t>
      </w:r>
    </w:p>
    <w:p>
      <w:pPr>
        <w:pStyle w:val="Normal"/>
        <w:spacing w:lineRule="auto" w:line="360"/>
        <w:rPr>
          <w:b/>
          <w:sz w:val="24"/>
        </w:rPr>
      </w:pPr>
      <w:bookmarkStart w:id="31" w:name="_Toc75446582"/>
      <w:r>
        <w:rPr>
          <w:b/>
          <w:sz w:val="24"/>
        </w:rPr>
        <w:t>Таблица 3 Требования к продукции</w:t>
      </w:r>
      <w:bookmarkEnd w:id="31"/>
      <w:r>
        <w:rPr>
          <w:b/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Наименование продукции: </w:t>
      </w:r>
      <w:r>
        <w:rPr>
          <w:sz w:val="24"/>
          <w:szCs w:val="24"/>
        </w:rPr>
        <w:t>ОКПД2: 26.40.33.111 Поставка IP камер системы охранного телевидения</w:t>
      </w:r>
      <w:r>
        <w:rPr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Style w:val="affffa"/>
        <w:tblW w:w="151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4"/>
        <w:gridCol w:w="735"/>
        <w:gridCol w:w="1311"/>
        <w:gridCol w:w="4360"/>
        <w:gridCol w:w="2942"/>
        <w:gridCol w:w="2217"/>
        <w:gridCol w:w="2325"/>
        <w:gridCol w:w="28"/>
        <w:gridCol w:w="209"/>
        <w:gridCol w:w="235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4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30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3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78" w:hRule="atLeast"/>
        </w:trPr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п/п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(технические характеристики)</w:t>
            </w:r>
          </w:p>
        </w:tc>
        <w:tc>
          <w:tcPr>
            <w:tcW w:w="29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Производитель</w:t>
            </w:r>
          </w:p>
        </w:tc>
        <w:tc>
          <w:tcPr>
            <w:tcW w:w="221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IP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амера Beward SV81716RZX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 Мп, 1/2.8'' КМОП Sony Starvis, 0.006 лк (день) / 0.003лк (ночь), 2xWDR до 120 дБ, 3 потока, H.265/H.264/MJPEG, 2592x1944, 30к/c, моторизованный объектив 5.3-64 мм, 12х увеличение, АРД, электромеханический ИК-фильтр, ИК-подсветка (до 180м), 12В/PoE, microSDXC (до 256 ГБ), IP67, от -40 до +60°С, монтажная коробка, встроенная видеоаналитика, SIP, детекция лиц</w:t>
            </w:r>
          </w:p>
        </w:tc>
        <w:tc>
          <w:tcPr>
            <w:tcW w:w="29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Научно-производственное предприятие «Бeвард» (BEWARD)</w:t>
            </w:r>
          </w:p>
        </w:tc>
        <w:tc>
          <w:tcPr>
            <w:tcW w:w="221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4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30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Воткинский филиал АО «Гидроремонт-ВКК» в г. Чайковский, 617766, Пермский край   г. Чайковский, территория Воткинской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10-30 и с 12-30 до 15-30, пятница с 8-30 до 10-30 и с 12-30 до 14-30 по местному времени.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таре и упаковке</w:t>
            </w:r>
          </w:p>
        </w:tc>
        <w:tc>
          <w:tcPr>
            <w:tcW w:w="730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гарантировать, что   продукция не будет повреждена, деформирована или утеряна во время транспортировки.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Упаковка должна обеспечивать целостность продукции при транспортировке и хранении. Поставщик несёт ответственность за качество упаковки.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приемке</w:t>
            </w:r>
          </w:p>
        </w:tc>
        <w:tc>
          <w:tcPr>
            <w:tcW w:w="730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730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срок, равный 36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3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 на русском языке,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паспорта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32" w:name="_GoBack"/>
            <w:bookmarkEnd w:id="32"/>
            <w:r>
              <w:rPr>
                <w:rFonts w:cs="Times New Roman"/>
                <w:kern w:val="0"/>
                <w:lang w:val="ru-RU" w:eastAsia="ru-RU" w:bidi="ar-SA"/>
              </w:rPr>
              <w:t>инструкции по монтажу и эксплуатации;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73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 Не допускается поставка контрафактного и восстановленного оборудования.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2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3.Требования к документации по ценообразованию на этапе закупки.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3.2.</w:t>
        <w:tab/>
        <w:t>Дополнительные документы по ценообразованию в состав заявки не включаются.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EC85D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EC85D3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5" w:customStyle="1">
    <w:name w:val="Ссылка указателя"/>
    <w:qFormat/>
    <w:rPr/>
  </w:style>
  <w:style w:type="character" w:styleId="WW8Num1z1" w:customStyle="1">
    <w:name w:val="WW8Num1z1"/>
    <w:qFormat/>
    <w:rsid w:val="000c1e38"/>
    <w:rPr>
      <w:b w:val="false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eastAsia="MS Mincho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9065827881" w:customStyle="1">
    <w:name w:val="390658278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B23E-6933-485B-8345-A9A086AE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7669</TotalTime>
  <Application>AlterOffice/3.4.0.9$Linux_X86_64 LibreOffice_project/b8daf9e823b1a5463a2f48435ddc2e8696e7d4fc</Application>
  <AppVersion>15.0000</AppVersion>
  <Pages>9</Pages>
  <Words>890</Words>
  <Characters>6184</Characters>
  <CharactersWithSpaces>6927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2023-04-05T10:59:00Z</dcterms:created>
  <dc:creator>Быстров Олег Геннадьевич</dc:creator>
  <dc:description/>
  <dc:language>ru-RU</dc:language>
  <cp:lastModifiedBy>Никитин Николай Анатольевич</cp:lastModifiedBy>
  <cp:lastPrinted>2023-01-14T04:55:00Z</cp:lastPrinted>
  <dcterms:modified xsi:type="dcterms:W3CDTF">2026-05-13T08:55:00Z</dcterms:modified>
  <cp:revision>86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