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606" w:type="dxa"/>
        <w:jc w:val="left"/>
        <w:tblInd w:w="-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firstRow="1" w:lastRow="1" w:firstColumn="1" w:lastColumn="1"/>
      </w:tblPr>
      <w:tblGrid>
        <w:gridCol w:w="9606"/>
      </w:tblGrid>
      <w:tr>
        <w:trPr/>
        <w:tc>
          <w:tcPr>
            <w:tcW w:w="9606" w:type="dxa"/>
            <w:tcBorders/>
          </w:tcPr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директора- </w:t>
            </w:r>
          </w:p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Воткинского филиала </w:t>
            </w:r>
          </w:p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«Гидроремонт-ВКК» </w:t>
            </w:r>
          </w:p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 Чайковский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______________ Э.В. Сальников</w:t>
            </w:r>
          </w:p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1165"/>
              <w:jc w:val="right"/>
              <w:rPr/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  <w:lang w:val="en-US"/>
              </w:rPr>
              <w:t>__</w:t>
            </w:r>
            <w:r>
              <w:rPr>
                <w:sz w:val="24"/>
                <w:szCs w:val="24"/>
              </w:rPr>
              <w:t>_» ________ 202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BodyText2"/>
        <w:spacing w:lineRule="auto" w:line="240"/>
        <w:jc w:val="both"/>
        <w:rPr>
          <w:rStyle w:val="Style8"/>
          <w:b w:val="false"/>
          <w:i w:val="false"/>
          <w:i w:val="false"/>
          <w:dstrike/>
          <w:sz w:val="24"/>
          <w:shd w:fill="auto" w:val="clear"/>
        </w:rPr>
      </w:pPr>
      <w:r>
        <w:rPr>
          <w:rFonts w:eastAsia="Calibri"/>
          <w:sz w:val="24"/>
          <w:szCs w:val="24"/>
          <w:lang w:eastAsia="x-none"/>
        </w:rPr>
        <w:t>«ОКПД 7</w:t>
      </w:r>
      <w:r>
        <w:rPr>
          <w:rFonts w:eastAsia="Calibri"/>
          <w:sz w:val="24"/>
          <w:szCs w:val="24"/>
          <w:lang w:eastAsia="x-none"/>
        </w:rPr>
        <w:t>1.20.19</w:t>
      </w:r>
      <w:r>
        <w:rPr>
          <w:rFonts w:eastAsia="Calibri"/>
          <w:sz w:val="24"/>
          <w:szCs w:val="24"/>
          <w:lang w:eastAsia="x-none"/>
        </w:rPr>
        <w:t xml:space="preserve">: </w:t>
      </w:r>
      <w:r>
        <w:rPr>
          <w:sz w:val="24"/>
        </w:rPr>
        <w:t>Оказание услуг по неразрушающему контролю на капитальном и текущих ремонтах гидроагрегатов для нужд Воткинского филиала</w:t>
      </w:r>
      <w:r>
        <w:rPr>
          <w:sz w:val="24"/>
          <w:szCs w:val="20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r>
            <w:fldChar w:fldCharType="begin"/>
          </w:r>
          <w:r>
            <w:rPr>
              <w:webHidden/>
              <w:rStyle w:val="Style14"/>
              <w:sz w:val="28"/>
              <w:szCs w:val="28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8"/>
              <w:szCs w:val="28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  <w:sz w:val="28"/>
                <w:szCs w:val="28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Общие сведения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8"/>
                <w:szCs w:val="28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8"/>
                <w:szCs w:val="28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Наименование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8"/>
                <w:szCs w:val="28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Цель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54643699">
            <w:r>
              <w:rPr>
                <w:webHidden/>
                <w:rStyle w:val="Style14"/>
                <w:vanish w:val="false"/>
                <w:sz w:val="28"/>
                <w:szCs w:val="28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  <w:sz w:val="28"/>
                <w:szCs w:val="28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54643702">
            <w:r>
              <w:rPr>
                <w:webHidden/>
                <w:rStyle w:val="Style14"/>
                <w:vanish w:val="false"/>
                <w:sz w:val="28"/>
                <w:szCs w:val="28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4"/>
                <w:iCs/>
                <w:sz w:val="28"/>
                <w:szCs w:val="28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8"/>
                <w:szCs w:val="28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704">
            <w:r>
              <w:rPr>
                <w:webHidden/>
                <w:rStyle w:val="Style14"/>
                <w:vanish w:val="false"/>
                <w:sz w:val="28"/>
                <w:szCs w:val="28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54643705">
            <w:r>
              <w:rPr>
                <w:webHidden/>
                <w:rStyle w:val="Style14"/>
                <w:vanish w:val="false"/>
                <w:sz w:val="28"/>
                <w:szCs w:val="28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706">
            <w:r>
              <w:rPr>
                <w:webHidden/>
                <w:rStyle w:val="Style14"/>
                <w:vanish w:val="false"/>
                <w:sz w:val="28"/>
                <w:szCs w:val="28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54643707">
            <w:r>
              <w:rPr>
                <w:webHidden/>
                <w:rStyle w:val="Style14"/>
                <w:vanish w:val="false"/>
                <w:sz w:val="28"/>
                <w:szCs w:val="28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8"/>
              <w:szCs w:val="28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8"/>
                <w:szCs w:val="28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54643709">
            <w:r>
              <w:rPr>
                <w:webHidden/>
                <w:rStyle w:val="Style14"/>
                <w:vanish w:val="false"/>
                <w:sz w:val="28"/>
                <w:szCs w:val="28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r>
            <w:rPr>
              <w:rFonts w:eastAsia="新細明體" w:cs="Times New Roman" w:eastAsiaTheme="minorEastAsia"/>
              <w:bCs w:val="false"/>
              <w:sz w:val="28"/>
              <w:szCs w:val="28"/>
            </w:rPr>
            <w:t>3. Требования к документации по ценообразованию на этапе закупки</w:t>
            <w:tab/>
            <w:t>13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新細明體" w:cs="Times New Roman" w:eastAsiaTheme="minorEastAsia"/>
              <w:bCs w:val="false"/>
              <w:sz w:val="28"/>
              <w:szCs w:val="28"/>
            </w:rPr>
          </w:pPr>
          <w:r>
            <w:rPr>
              <w:rFonts w:eastAsia="新細明體" w:cs="Times New Roman" w:eastAsiaTheme="minorEastAsia"/>
              <w:bCs w:val="false"/>
              <w:sz w:val="28"/>
              <w:szCs w:val="28"/>
            </w:rPr>
            <w:t>4. Приложения… ………………………………………………………………….    13</w:t>
          </w:r>
          <w:r>
            <w:rPr>
              <w:sz w:val="28"/>
              <w:szCs w:val="28"/>
              <w:bCs w:val="false"/>
              <w:rFonts w:eastAsia="新細明體" w:cs="Times New Roman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eastAsia="新細明體" w:cs="Times New Roman" w:eastAsiaTheme="minorEastAsia"/>
          <w:bCs w:val="false"/>
          <w:sz w:val="28"/>
          <w:szCs w:val="28"/>
        </w:rPr>
      </w:pPr>
      <w:r>
        <w:rPr>
          <w:rFonts w:eastAsia="新細明體" w:cs="Times New Roman" w:eastAsiaTheme="minorEastAsia"/>
          <w:bCs w:val="false"/>
          <w:sz w:val="28"/>
          <w:szCs w:val="28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Стандарт предприятия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Руководящий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МПД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Магнитно-порошковая дефектоскопия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УЗК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Ультразвуковой контроль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r>
        <w:rPr/>
        <w:t>Наименование закупаемой продукции</w:t>
      </w:r>
      <w:bookmarkEnd w:id="3"/>
    </w:p>
    <w:p>
      <w:pPr>
        <w:pStyle w:val="BodyText2"/>
        <w:spacing w:lineRule="auto" w:line="240"/>
        <w:jc w:val="both"/>
        <w:rPr>
          <w:rStyle w:val="Style8"/>
          <w:b w:val="false"/>
          <w:i w:val="false"/>
          <w:i w:val="false"/>
          <w:dstrike/>
          <w:sz w:val="24"/>
          <w:shd w:fill="auto" w:val="clear"/>
        </w:rPr>
      </w:pPr>
      <w:r>
        <w:rPr>
          <w:rFonts w:eastAsia="Calibri"/>
          <w:sz w:val="24"/>
          <w:szCs w:val="24"/>
          <w:lang w:eastAsia="x-none"/>
        </w:rPr>
        <w:t xml:space="preserve">«ОКПД 74.30.15.110: </w:t>
      </w:r>
      <w:r>
        <w:rPr>
          <w:sz w:val="24"/>
        </w:rPr>
        <w:t>Оказание услуг по неразрушающему контролю на капитальном и текущих ремонтах гидроагрегатов для нужд Воткинского филиала</w:t>
      </w:r>
      <w:r>
        <w:rPr>
          <w:sz w:val="24"/>
          <w:szCs w:val="20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4" w:name="_Toc54643697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r>
        <w:rPr/>
        <w:t xml:space="preserve"> </w:t>
      </w:r>
      <w:bookmarkEnd w:id="4"/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0"/>
        </w:rPr>
        <w:t xml:space="preserve">    </w:t>
      </w:r>
      <w:r>
        <w:rPr>
          <w:sz w:val="24"/>
          <w:szCs w:val="20"/>
        </w:rPr>
        <w:t>Для исполнения Договора №4-РЕМ-2023-ВотГЭС от 31.10.2023г. «Капитальный и текущий ремонт оборудования, зданий и сооружений Воткинской ГЭС», заключенного между филиалом ПАО «РусГидро» - «Воткинская ГЭС» и Воткинским филиалом АО «Гидроремонт-ВКК».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6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410"/>
        <w:gridCol w:w="2693"/>
        <w:gridCol w:w="2269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Оказание услуг по неразрушающему контролю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Воткинская ГЭС, Российская Федерация, Пермский край,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г. Чайковский,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машинный зал ГЭС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Гидроагрегат ст.№</w:t>
            </w:r>
            <w:r>
              <w:rPr>
                <w:i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соответствии с ведомостью объемов работ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Оказание услуг по неразрушающему контролю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Воткинская ГЭС, Российская Федерация, Пермский край,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г. Чайковский,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машинный зал ГЭС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Гидроагрегат ст.№</w:t>
            </w: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соответствии с ведомостью объемов работ</w:t>
            </w:r>
          </w:p>
        </w:tc>
      </w:tr>
      <w:tr>
        <w:trPr>
          <w:trHeight w:val="41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Оказание услуг по неразрушающему контролю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Воткинская ГЭС, Российская Федерация, Пермский край,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г. Чайковский, 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машинный зал ГЭС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Гидроагрегат ст.№</w:t>
            </w:r>
            <w:r>
              <w:rPr>
                <w:i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соответствии с ведомостью объемов работ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Оказание услуг по неразрушающему контролю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Воткинская ГЭС, Российская Федерация, Пермский край,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г. Чайковский,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/>
              <w:t xml:space="preserve"> </w:t>
            </w:r>
            <w:r>
              <w:rPr>
                <w:i/>
                <w:iCs/>
                <w:sz w:val="24"/>
                <w:szCs w:val="24"/>
              </w:rPr>
              <w:t>машинный зал ГЭС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Гидроагрегат ст.№</w:t>
            </w:r>
            <w:r>
              <w:rPr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соответствии с ведомостью объемов работ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7"/>
      <w:bookmarkEnd w:id="8"/>
    </w:p>
    <w:p>
      <w:pPr>
        <w:pStyle w:val="Heading4"/>
        <w:numPr>
          <w:ilvl w:val="1"/>
          <w:numId w:val="3"/>
        </w:numPr>
        <w:rPr/>
      </w:pPr>
      <w:bookmarkStart w:id="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9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0" w:name="_Toc54643704"/>
      <w:r>
        <w:rPr>
          <w:lang w:val="ru-RU"/>
        </w:rPr>
        <w:t>Требования к перечню и объему услуг</w:t>
      </w:r>
      <w:bookmarkEnd w:id="1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54643705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оказываемых услуг</w:t>
      </w:r>
      <w:bookmarkEnd w:id="1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87"/>
        <w:gridCol w:w="212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Капитальный ремонт гидроагрегата №5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1,0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Текущий ремонт гидроагрегата №6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1,0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Текущий ремонт гидроагрегата №10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1,0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Текущий ремонт гидроагрегата №2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1,0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54643706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оказания услуг</w:t>
      </w:r>
      <w:bookmarkEnd w:id="1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4643707"/>
      <w:bookmarkStart w:id="16" w:name="_Toc50125127"/>
      <w:bookmarkStart w:id="17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bookmarkEnd w:id="17"/>
      <w:bookmarkEnd w:id="18"/>
      <w:r>
        <w:rPr>
          <w:sz w:val="24"/>
          <w:szCs w:val="24"/>
          <w:lang w:val="ru-RU"/>
        </w:rPr>
        <w:t>оказания услуг</w:t>
      </w:r>
      <w:bookmarkEnd w:id="15"/>
    </w:p>
    <w:tbl>
      <w:tblPr>
        <w:tblW w:w="9639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2"/>
        <w:gridCol w:w="3259"/>
        <w:gridCol w:w="2694"/>
        <w:gridCol w:w="2833"/>
      </w:tblGrid>
      <w:tr>
        <w:trPr>
          <w:trHeight w:val="9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Капитальный ремонт гидроагрегата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26.</w:t>
            </w:r>
            <w:r>
              <w:rPr>
                <w:i/>
                <w:iCs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sz w:val="24"/>
                <w:szCs w:val="24"/>
              </w:rPr>
              <w:t>.2026г.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11</w:t>
            </w:r>
            <w:r>
              <w:rPr>
                <w:i/>
                <w:sz w:val="24"/>
                <w:szCs w:val="24"/>
              </w:rPr>
              <w:t>.12.2026г.</w:t>
            </w:r>
            <w:r>
              <w:rPr>
                <w:rStyle w:val="FootnoteReference"/>
                <w:i/>
                <w:sz w:val="24"/>
                <w:szCs w:val="24"/>
              </w:rPr>
              <w:footnoteReference w:id="2"/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Текущий ремонт гидроагрегата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14.09.2026г.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18.</w:t>
            </w:r>
            <w:r>
              <w:rPr>
                <w:i/>
                <w:sz w:val="24"/>
                <w:szCs w:val="24"/>
                <w:lang w:val="en-US"/>
              </w:rPr>
              <w:t>10</w:t>
            </w:r>
            <w:r>
              <w:rPr>
                <w:i/>
                <w:sz w:val="24"/>
                <w:szCs w:val="24"/>
              </w:rPr>
              <w:t>.2026г.</w:t>
            </w:r>
            <w:r>
              <w:rPr>
                <w:rStyle w:val="FootnoteReference"/>
                <w:i/>
                <w:sz w:val="24"/>
                <w:szCs w:val="24"/>
              </w:rPr>
              <w:footnoteReference w:id="3"/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Текущий ремонт гидроагрегата №10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22.06.2026г.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26.07.2026г.</w:t>
            </w:r>
            <w:r>
              <w:rPr>
                <w:rStyle w:val="FootnoteReference"/>
                <w:i/>
                <w:sz w:val="24"/>
                <w:szCs w:val="24"/>
              </w:rPr>
              <w:footnoteReference w:id="4"/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Текущий ремонт гидроагрегата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24</w:t>
            </w:r>
            <w:r>
              <w:rPr>
                <w:i/>
                <w:iCs/>
                <w:sz w:val="24"/>
                <w:szCs w:val="24"/>
              </w:rPr>
              <w:t>.08.2026г.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03.09.2026</w:t>
            </w:r>
            <w:bookmarkStart w:id="19" w:name="_GoBack"/>
            <w:bookmarkEnd w:id="19"/>
            <w:r>
              <w:rPr>
                <w:i/>
                <w:sz w:val="24"/>
                <w:szCs w:val="24"/>
              </w:rPr>
              <w:t>г.</w:t>
            </w:r>
            <w:r>
              <w:rPr>
                <w:rStyle w:val="FootnoteReference"/>
                <w:i/>
                <w:sz w:val="24"/>
                <w:szCs w:val="24"/>
              </w:rPr>
              <w:footnoteReference w:id="5"/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4643709"/>
      <w:bookmarkStart w:id="21" w:name="_Toc51339698"/>
      <w:bookmarkStart w:id="22" w:name="_Toc54643708"/>
      <w:bookmarkStart w:id="23" w:name="_Toc46743511"/>
      <w:r>
        <w:rPr/>
        <w:t xml:space="preserve">Требования к </w:t>
      </w:r>
      <w:bookmarkEnd w:id="23"/>
      <w:r>
        <w:rPr>
          <w:lang w:val="ru-RU"/>
        </w:rPr>
        <w:t>качеству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1"/>
      <w:r>
        <w:rPr>
          <w:sz w:val="24"/>
          <w:szCs w:val="24"/>
          <w:lang w:val="ru-RU"/>
        </w:rPr>
        <w:t>качеству услуг</w:t>
      </w:r>
      <w:bookmarkEnd w:id="20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№1-4 Таблицы 2): </w:t>
      </w:r>
      <w:r>
        <w:rPr>
          <w:bCs/>
          <w:sz w:val="24"/>
          <w:szCs w:val="24"/>
        </w:rPr>
        <w:t>«ОКПД 74.30.15.110: Оказание услуг по неразрушающему контролю на капитальном и текущем ремонтах гидроагрегатов».</w:t>
      </w:r>
    </w:p>
    <w:tbl>
      <w:tblPr>
        <w:tblStyle w:val="affff5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4111"/>
        <w:gridCol w:w="1984"/>
        <w:gridCol w:w="2928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11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1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4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«Правила технической эксплуатации электрических станций и сетей РФ»; 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«Правила по охране труда при эксплуатации электроустановок»;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Инструкции по обращению с отходами производства и потребления Воткинской ГЭС;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«Правила по охране труда при работе с инструментом и приспособлениями»;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РД 153.-34.0-03.301-00 (ВППБ 01-02-95) «Правила пожарной безопасности для энергетических предприятий»;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РД 153-34.1-20.602-2002 «Основные положения и требования договора на выполнение работ по ремонту оборудования электростанций»;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СО 34.04.181-2003 «Правила организации технического обслуживания и ремонта оборудования, зданий и сооружений электростанций и сетей»;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СТО17330282.27.140.001 – 2006 «Методики оценки технического  состояния основного оборудования гидроэлектростанций»;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СТО РусГидро 02.03.69-2022 «Гидрогенераторы. Общие технические условия на капитальный ремонт. Нормы и требования»;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СТО РусГидро 02.03.70-2022 «Гидротурбины. Общие технические условия на капитальный ремонт. Нормы и требования»;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РД 27.28.05.037-2009 «Временная инструкция. Проведение ультразвукового контроля шпилек гидроагрегатов ГЭС»;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РД-13-05-2006 «Методические рекомендации о порядке проведения магнитопорошкового контроля технических устройств и сооружений, применяемых и эксплуатируемых на опасных производственных объектах»;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РД 34.17.415-96 «Инструкция по проведению ультразвукового контроля крепежа энергооборудования»;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РД 153-34.1-17.461-00 «Методические указания по капиллярному контролю сварных соединений, наплавок и основного металла при изготовлении, монтаже, эксплуатации и ремонте объектов энергетического оборудования»;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ГОСТ 20105-2016 «Контроль неразрушающий. Магнитопорошковый метод».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СТО РусГидро 02.03.107-2013 «Гидроэлектростанции. Неразрушающий контроль крепежных элементов ответственных узлов гидроагрегатов. Методические указания;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СТО РусГидро 02.03.93-2013 «Гидротурбины вертикальные. Контроль металла лопастей и камер рабочих колес. Методические указания»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Наличие аттестованной лаборатории неразрушающего контроля 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Соответствие установленному требованию подтверждается путем представления участником закупки в составе заявки копии соответствующей Свидетельства (действующей на момент подачи заявки).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Наличие опыта оказания услуг 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не менее 3-х лет по неразрушающему контролю энергетического оборудования, при этом участником должны быть исполнены обязательства (оказаны вышеуказанные услуги) в общем объеме не менее  20% от НМЦ за последние 5 лет.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Требование к порядку оказания услуг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Диагностическое обследование должно проводиться по методике, разработанной Исполнителем и утвержденной Заказчиком;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Диагностическое обследование должно производиться с применением неразрушающих методов контроля.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- Оформление заключений  по итогам неразрушающего контроля 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должен осуществляться в соответствии с «Методикой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допуска персонала подрядных организаций к выполнению работ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 объектах ПАО «РусГидро» (утв. приказом ПАО «РусГидро» №300 от 28.04.2023г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)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(Приложение №2 к ТТ)» с обязательным оформлением необходимых нарядов-допусков.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Подготовку рабочих мест и допуск к оказанию услуг выполняет персонал заказчика.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Наличие необходимых средств технического диагностирования и контроля 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Ультразвуковой дефектоскоп – 1 шт., комплект МПД -1шт.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для проведения неразрушающего контроля.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Не допускается применение аппаратуры, подлежащей госповерке и не прошедшей её.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и на высоте с приложением копий удостоверений на производство специальных видов работ: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21" w:leader="none"/>
              </w:tabs>
              <w:suppressAutoHyphens w:val="true"/>
              <w:spacing w:before="60" w:after="0"/>
              <w:ind w:left="463" w:hanging="36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Производитель и член бригады – не менее 2 чел. с группой допуска по электробезопасности не ниже III и группой по высоте не ниже II;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461" w:hanging="360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руководитель работ– не менее 1 чел. с группой допуска по электробезопасности не ниже I</w:t>
            </w:r>
            <w:r>
              <w:rPr>
                <w:rFonts w:eastAsia="Times New Roman" w:cs="Times New Roman"/>
                <w:i/>
                <w:iCs/>
                <w:kern w:val="0"/>
                <w:lang w:val="en-US" w:eastAsia="ru-RU" w:bidi="ar-SA"/>
              </w:rPr>
              <w:t>V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и группой по высоте не ниже </w:t>
            </w:r>
            <w:r>
              <w:rPr>
                <w:rFonts w:eastAsia="Times New Roman" w:cs="Times New Roman"/>
                <w:i/>
                <w:iCs/>
                <w:kern w:val="0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квалифицированного и аттестованного персонала: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 дефектоскопист II уровня по неразрушающему контролю: по видам контроля УЗК и МПД.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Установления соответствия: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Выявление дефектов, определение годности оборудования для дальнейшей эксплуатации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03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Документы, передаваемые заказчику по результатам оказанных услуг 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Исполнитель передает заказчику заключение по итогам контроля, на бумажном носителе (в 1-ом экз.)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Исполнитель передает заказчику акт приемки-сдачи оказанных услуг в двух экземплярах, справку о фактических трудозатратах в 1 экз.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 должен составлять 12 месяцев с даты подписания Акта о приемке выполненных работ КС-2.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tabs>
          <w:tab w:val="clear" w:pos="708"/>
          <w:tab w:val="left" w:pos="1260" w:leader="none"/>
        </w:tabs>
        <w:ind w:left="1260" w:hanging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3. Требования к документации по ценообразованию на этапе закупки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ind w:left="426" w:hanging="1080"/>
        <w:jc w:val="both"/>
        <w:rPr>
          <w:sz w:val="24"/>
          <w:szCs w:val="24"/>
        </w:rPr>
      </w:pPr>
      <w:r>
        <w:rPr>
          <w:sz w:val="24"/>
          <w:szCs w:val="24"/>
        </w:rPr>
        <w:tab/>
        <w:t>3.1. В обоснование стоимости своей заявки Участник предоставляет Коммерческое предложение по форме (с учётом прилагаемой к ней инструкции по заполнению), приведённой в Документации о закупке (с указанием конкурсного коэффициента).</w:t>
      </w:r>
    </w:p>
    <w:p>
      <w:pPr>
        <w:pStyle w:val="Normal"/>
        <w:tabs>
          <w:tab w:val="clear" w:pos="708"/>
          <w:tab w:val="left" w:pos="426" w:leader="none"/>
        </w:tabs>
        <w:ind w:left="426" w:hanging="1080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keepNext w:val="true"/>
        <w:numPr>
          <w:ilvl w:val="0"/>
          <w:numId w:val="6"/>
        </w:numPr>
        <w:spacing w:before="120" w:after="60"/>
        <w:ind w:left="720" w:firstLine="66"/>
        <w:contextualSpacing/>
        <w:outlineLvl w:val="0"/>
        <w:rPr>
          <w:b/>
          <w:caps/>
          <w:lang w:val="x-none" w:eastAsia="x-none"/>
        </w:rPr>
      </w:pPr>
      <w:bookmarkStart w:id="25" w:name="_Toc54646413"/>
      <w:r>
        <w:rPr>
          <w:b/>
          <w:lang w:val="x-none" w:eastAsia="x-none"/>
        </w:rPr>
        <w:t>Приложения</w:t>
      </w:r>
      <w:bookmarkEnd w:id="25"/>
    </w:p>
    <w:p>
      <w:pPr>
        <w:pStyle w:val="ListParagraph"/>
        <w:keepNext w:val="true"/>
        <w:numPr>
          <w:ilvl w:val="0"/>
          <w:numId w:val="0"/>
        </w:numPr>
        <w:spacing w:before="120" w:after="60"/>
        <w:ind w:left="426" w:hanging="0"/>
        <w:contextualSpacing/>
        <w:outlineLvl w:val="0"/>
        <w:rPr>
          <w:b/>
          <w:caps/>
          <w:lang w:val="x-none" w:eastAsia="x-none"/>
        </w:rPr>
      </w:pPr>
      <w:r>
        <w:rPr>
          <w:b/>
          <w:caps/>
          <w:lang w:val="x-none" w:eastAsia="x-none"/>
        </w:rPr>
      </w:r>
    </w:p>
    <w:p>
      <w:pPr>
        <w:pStyle w:val="Normal"/>
        <w:ind w:left="426" w:hanging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Приложение №1 – </w:t>
      </w:r>
      <w:r>
        <w:rPr>
          <w:bCs/>
          <w:sz w:val="24"/>
          <w:szCs w:val="24"/>
          <w:lang w:val="en-US"/>
        </w:rPr>
        <w:t>Ведомости объемов работ.</w:t>
      </w:r>
    </w:p>
    <w:p>
      <w:pPr>
        <w:pStyle w:val="Normal"/>
        <w:ind w:left="426" w:hanging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</w:r>
    </w:p>
    <w:p>
      <w:pPr>
        <w:pStyle w:val="Normal"/>
        <w:ind w:left="426" w:hanging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Приложении № 2 - Методика допуска персонала подрядных организаций к выполнению работ на объектах Обществ</w:t>
      </w:r>
      <w:bookmarkStart w:id="26" w:name="_Toc513396991"/>
      <w:bookmarkStart w:id="27" w:name="_Toc467435191"/>
      <w:bookmarkEnd w:id="26"/>
      <w:bookmarkEnd w:id="27"/>
      <w:r>
        <w:rPr>
          <w:iCs/>
          <w:sz w:val="24"/>
          <w:szCs w:val="24"/>
        </w:rPr>
        <w:t>а.</w:t>
      </w:r>
    </w:p>
    <w:p>
      <w:pPr>
        <w:pStyle w:val="Normal"/>
        <w:ind w:left="426" w:hanging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sectPr>
          <w:headerReference w:type="default" r:id="rId7"/>
          <w:headerReference w:type="first" r:id="rId8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left="426" w:hanging="0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sz w:val="24"/>
          <w:szCs w:val="24"/>
        </w:rPr>
        <w:t>Приложение №3 – Требования к оформлению и составлению сметной документации на работы по программе ремонтов.</w:t>
      </w:r>
    </w:p>
    <w:p>
      <w:pPr>
        <w:pStyle w:val="Normal"/>
        <w:tabs>
          <w:tab w:val="clear" w:pos="708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техническим требованиям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Ведомость объемов по дефектоскопии при ремонте гидротурбины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гидроагрегата №2.</w:t>
      </w:r>
    </w:p>
    <w:tbl>
      <w:tblPr>
        <w:tblStyle w:val="210"/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3"/>
        <w:gridCol w:w="4482"/>
        <w:gridCol w:w="1291"/>
        <w:gridCol w:w="1418"/>
        <w:gridCol w:w="1514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пп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работ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Ед. измерения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Примечания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1.5 Ремонт рабочего колеса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Магнитопорошковая дефектоскопия металла узлов и деталей энергооборудования: облицовок днища и обтекателя рабочего колеса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5,9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2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Ведомость объемов по дефектоскопии при ремонте гидротурбины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гидроагрегата №</w:t>
      </w:r>
      <w:r>
        <w:rPr>
          <w:b/>
          <w:sz w:val="24"/>
          <w:szCs w:val="24"/>
          <w:lang w:val="en-US"/>
        </w:rPr>
        <w:t>10</w:t>
      </w:r>
      <w:r>
        <w:rPr>
          <w:b/>
          <w:sz w:val="24"/>
          <w:szCs w:val="24"/>
        </w:rPr>
        <w:t>.</w:t>
      </w:r>
    </w:p>
    <w:tbl>
      <w:tblPr>
        <w:tblStyle w:val="210"/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3"/>
        <w:gridCol w:w="4482"/>
        <w:gridCol w:w="1291"/>
        <w:gridCol w:w="1418"/>
        <w:gridCol w:w="1514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пп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работ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Ед. измерения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Примечания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1.5 Ремонт рабочего колеса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>10 дм</w:t>
            </w:r>
            <w:r>
              <w:rPr>
                <w:rFonts w:eastAsia="Calibri" w:cs="Times New Roman" w:ascii="Calibri" w:hAnsi="Calibri"/>
                <w:kern w:val="0"/>
                <w:sz w:val="24"/>
                <w:szCs w:val="24"/>
                <w:vertAlign w:val="superscript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55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Ультразвуковой контроль крепления лопастей РК к цапфам (болт М150х4- 40шт)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>10 дм</w:t>
            </w:r>
            <w:r>
              <w:rPr>
                <w:rFonts w:eastAsia="Calibri" w:cs="Times New Roman" w:ascii="Calibri" w:hAnsi="Calibri"/>
                <w:kern w:val="0"/>
                <w:sz w:val="24"/>
                <w:szCs w:val="24"/>
                <w:vertAlign w:val="superscript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7,065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Магнитопорошковая дефектоскопия металла узлов и деталей энергооборудования: облицовок днища и обтекателя рабочего колеса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5,9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Ведомость объемов по дефектоскопии при ремонте гидротурбины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гидроагрегата №6.</w:t>
      </w:r>
    </w:p>
    <w:tbl>
      <w:tblPr>
        <w:tblStyle w:val="210"/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3"/>
        <w:gridCol w:w="4482"/>
        <w:gridCol w:w="1291"/>
        <w:gridCol w:w="1418"/>
        <w:gridCol w:w="1514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пп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работ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Ед. измерения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Примечания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1.5 Ремонт рабочего колеса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Магнитопорошковая дефектоскопия металла узлов и деталей энергооборудования: облицовок днища и обтекателя рабочего колеса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5,9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Ведомость объемов по дефектоскопии при ремонте гидротурбины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гидроагрегата №</w:t>
      </w:r>
      <w:r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>.</w:t>
      </w:r>
    </w:p>
    <w:tbl>
      <w:tblPr>
        <w:tblStyle w:val="210"/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3"/>
        <w:gridCol w:w="4482"/>
        <w:gridCol w:w="1291"/>
        <w:gridCol w:w="1418"/>
        <w:gridCol w:w="1514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пп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работ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Ед. измерения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Примечания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Ремонт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маслоприемника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УЗК крепления корпуса маслоприемника к основанию 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(шпилька М30х70-24шт.)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0,68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основания маслоприемника к подставке (шпилька М42х110-24шт.)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1,33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 подставки маслоприемника к диску  (болт  М24х60-24шт.) и крепления диска к крестовине (болт М36х100- 24шт.)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0,43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1.5 Ремонт рабочего колеса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Магнитопорошковая дефектоскопия металла узлов и деталей энергооборудования: лопасти РК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110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днища к корпусу РК (болт М72х190 -30шт.)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1,0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днища к корпусу РК (болт М72х190 -30шт.)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1,0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днища к обтекателю РК (болт М72х190 -30шт.)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1,0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лопастей РК к цапфам (болт М150х4-6Н/6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g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-40шт.)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7,065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фланцевого соединения вала турбины и промвала (болт 1М140х740 -22шт.)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3,4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фланцевого соединения вала генератора и промвала (болт 1М140х740 -22шт.)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3,4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Магнитопорошковая дефектоскопия галтельных переходов фланцев валов турбины и генератора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27,6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Раздел 1.6 Ремонт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турбинного подшипника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ТП к обтекателю (водосборника) (шпилька М56х100-24шт.), отжимных (радиальных) болтов М56х300 -16шт, М56х150 -16шт.)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8,1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обтекателя (водосборника) к крышке турбины (шпилька М56х100-110шт., болт М56х160-84шт.)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11,8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1.8 Ремонт оборудования крышки турбины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шпилек КТ и шпилек ВКНА (шпилька М64-192шт.)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стык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192,0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Магнитопорошковая дефектоскопия фланца крышки турбины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70,0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крепления опоры пяты к крышке турбины (болт М64х210-32шт.)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1,6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Ведомость объемов по дефектоскопии при ремонте генератора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гидроагрегата №</w:t>
      </w:r>
      <w:r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>.</w:t>
      </w:r>
    </w:p>
    <w:tbl>
      <w:tblPr>
        <w:tblStyle w:val="210"/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3"/>
        <w:gridCol w:w="4482"/>
        <w:gridCol w:w="1291"/>
        <w:gridCol w:w="1418"/>
        <w:gridCol w:w="1514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пп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работ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Ед. измерения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Примечания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Ремонт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подпятника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тарельчатых опор подпятника до и после определения замечаний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21,5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поверхности крепления опорного диска к втулке ротора (болт М48х140-8шт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0,22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Ремонт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генераторного подшипника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поверхностей опорных болтов и вкладышей до и после определения замечаний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0,7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238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Раздел 1.5 Ремонт крестовины и ротора генератора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4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УЗК поверхности крепления лап опорной крестовины к статору генератора (М56х120-24шт.), крепления распорных домкратов к фундаментной плите (болт М42х85 -48шт.), крепления центральной части крестовины с лапами (шпилька М56-144шт.)</w:t>
            </w:r>
          </w:p>
        </w:tc>
        <w:tc>
          <w:tcPr>
            <w:tcW w:w="129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10дм2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5,3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6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uppressAutoHyphens w:val="false"/>
        <w:spacing w:lineRule="auto" w:line="259" w:before="0" w:after="160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Normal"/>
        <w:spacing w:before="0" w:after="120"/>
        <w:jc w:val="right"/>
        <w:rPr>
          <w:b/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9"/>
      <w:headerReference w:type="first" r:id="rId10"/>
      <w:footnotePr>
        <w:numFmt w:val="decimal"/>
      </w:footnotePr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Сроки указаны в соответствии с Графиком ремонтов основного оборудования на 2026г.</w:t>
      </w:r>
    </w:p>
  </w:footnote>
  <w:footnote w:id="3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Сроки указаны в соответствии с Графиком ремонтов основного оборудования на 2026г.</w:t>
      </w:r>
    </w:p>
  </w:footnote>
  <w:footnote w:id="4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Сроки указаны в соответствии с Графиком ремонтов основного оборудования на 2026г.</w:t>
      </w:r>
    </w:p>
  </w:footnote>
  <w:footnote w:id="5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Сроки указаны в соответствии с Графиком ремонтов основного оборудования на 2026г.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2f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Знак Знак1 Знак"/>
    <w:basedOn w:val="Normal"/>
    <w:qFormat/>
    <w:rsid w:val="00e166f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59"/>
    <w:rsid w:val="003d7cd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5"/>
    <w:uiPriority w:val="59"/>
    <w:rsid w:val="00ee24a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FA29-3D0E-4798-AE52-D6F21BDE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AlterOffice/3.4.0.9$Linux_X86_64 LibreOffice_project/b8daf9e823b1a5463a2f48435ddc2e8696e7d4fc</Application>
  <AppVersion>15.0000</AppVersion>
  <Pages>16</Pages>
  <Words>1988</Words>
  <Characters>13144</Characters>
  <CharactersWithSpaces>14810</CharactersWithSpaces>
  <Paragraphs>479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2023-11-10T03:51:00Z</dcterms:created>
  <dc:creator>Быстров Олег Геннадьевич</dc:creator>
  <dc:description/>
  <dc:language>ru-RU</dc:language>
  <cp:lastModifiedBy>ivanovamn@corp.gidroogk.com</cp:lastModifiedBy>
  <cp:lastPrinted>2006-07-26T14:04:00Z</cp:lastPrinted>
  <dcterms:modified xsi:type="dcterms:W3CDTF">2026-05-13T16:40:57Z</dcterms:modified>
  <cp:revision>64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