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14" w:type="dxa"/>
        <w:tblInd w:w="10915" w:type="dxa"/>
        <w:tblLook w:val="04A0" w:firstRow="1" w:lastRow="0" w:firstColumn="1" w:lastColumn="0" w:noHBand="0" w:noVBand="1"/>
      </w:tblPr>
      <w:tblGrid>
        <w:gridCol w:w="3714"/>
      </w:tblGrid>
      <w:tr w:rsidR="000D296F" w:rsidRPr="00C41695" w:rsidTr="000D296F">
        <w:trPr>
          <w:trHeight w:val="375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96A" w:rsidRPr="00135989" w:rsidRDefault="000D296F" w:rsidP="0013598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3596A" w:rsidRPr="00135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3596A" w:rsidRP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596A" w:rsidRPr="00135989" w:rsidRDefault="0073596A" w:rsidP="0013598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Техническому заданию</w:t>
            </w:r>
          </w:p>
          <w:p w:rsidR="000D296F" w:rsidRPr="00460F79" w:rsidRDefault="000D296F" w:rsidP="00735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BFB" w:rsidRPr="000D296F" w:rsidRDefault="000A721E" w:rsidP="000D2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="0073596A">
        <w:rPr>
          <w:rFonts w:ascii="Times New Roman" w:hAnsi="Times New Roman" w:cs="Times New Roman"/>
          <w:b/>
          <w:sz w:val="32"/>
          <w:szCs w:val="32"/>
        </w:rPr>
        <w:t xml:space="preserve"> бонусных и сервисных услуг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14163"/>
      </w:tblGrid>
      <w:tr w:rsidR="00FC16C6" w:rsidRPr="007717A8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7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63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7A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FC16C6" w:rsidRPr="00780678" w:rsidTr="00135989">
        <w:trPr>
          <w:trHeight w:val="454"/>
          <w:jc w:val="center"/>
        </w:trPr>
        <w:tc>
          <w:tcPr>
            <w:tcW w:w="438" w:type="dxa"/>
          </w:tcPr>
          <w:p w:rsidR="00FC16C6" w:rsidRPr="00780678" w:rsidRDefault="00FC16C6" w:rsidP="00135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6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3" w:type="dxa"/>
          </w:tcPr>
          <w:p w:rsidR="00FC16C6" w:rsidRPr="00135989" w:rsidRDefault="00FC16C6" w:rsidP="00780678">
            <w:pPr>
              <w:pStyle w:val="a3"/>
              <w:numPr>
                <w:ilvl w:val="0"/>
                <w:numId w:val="1"/>
              </w:numPr>
              <w:ind w:left="142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Страхование граждан, выезжающих за пределы постоянного места жительства. 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1"/>
              </w:numPr>
              <w:ind w:left="142" w:hanging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135989" w:rsidRDefault="00FC16C6" w:rsidP="00780678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135989" w:rsidRDefault="00FC16C6" w:rsidP="00780678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Условия страхования по полису ВЗР: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Страховая сумма: 50 000,00 (пятьдесят тысяч) долларов США/евро;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Территория страхования: весь мир, включая Россию;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Возраст, при котором оформляется Полис ВЗР: от 0 (нуля) до 80 (восьмидесяти) лет;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Полис ВЗР оформляется без франшизы на срок до окончания первого и второго годов страхования по Договору ДМС без ограничения количества поездок в течение срока действия Полиса ВЗР с максимальным сроком пребывания за пределами постоянного места жительства до 90 дней в течение одной поездки;   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получения помощи: через сервисную компанию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ика, указанную в Полисе ВЗР;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оформления полисов: единовременная рассылка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иком полисов ВЗР на дату оформления договора ДМС (единовременно с полисами ДМС);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Форма полиса: электронный полис (при необходимости должна быть возможность получения оригинала полиса по запросу Посольства).</w:t>
            </w:r>
          </w:p>
          <w:p w:rsidR="00FC16C6" w:rsidRPr="00135989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помощи (страховые риски) по полису ВЗР: 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расходы в рамках страховой суммы; 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Медицинские расходы на лечение обострения хронических заболеваний в рамках страховой суммы;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расходы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ованного лица, связанные с диагностикой и лечением </w:t>
            </w:r>
            <w:proofErr w:type="spellStart"/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инфекцией COVID-19 в лимите до 5000 долларов США/евро;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на экстренную стоматологическую помощь до 200 долларов США/евро;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на медицинскую транспортировку, эвакуацию и посмертную репатриацию – в рамках страховой суммы;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телефонные переговоры с Сервисной компанией и/или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иком по каждому страховому событию, предусмотренному договором - до 100 долларов США/евро;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эвакуации несовершеннолетних детей, сопровождающих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ованного;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досрочному возвращению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ованного на Родину в случае обоснованной медицинской необходимости;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в случае утраты/задержки багажа до 2 000 долларов США/евро;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визит третьего лица к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ованному, если срок госпитализации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ованного лица превысил 15 (пятнадцать) дней, в случае обоснованной медицинской необходимости;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на юридическую помощь до 1 000 долларов США/евро;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Административная помощь: помощь при потере документов;</w:t>
            </w:r>
          </w:p>
          <w:p w:rsidR="00FC16C6" w:rsidRPr="00135989" w:rsidRDefault="00FC16C6" w:rsidP="007806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в случае задержки регулярного авиарейса. </w:t>
            </w:r>
          </w:p>
          <w:p w:rsidR="00FC16C6" w:rsidRPr="00135989" w:rsidRDefault="00FC16C6" w:rsidP="00780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135989" w:rsidRDefault="00FC16C6" w:rsidP="00780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Не покрываются риски, связанные с занятием любыми видами спорта в период поездки.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7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3" w:type="dxa"/>
          </w:tcPr>
          <w:p w:rsidR="00FC16C6" w:rsidRPr="00135989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Телемедицина</w:t>
            </w:r>
            <w:r w:rsidR="00135989"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5C24F6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80678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Сервис дистанционных медицинских консультаций (по телефону, в чате или по видеосвязи) для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ованных по ДМС. </w:t>
            </w:r>
          </w:p>
          <w:p w:rsidR="00FC16C6" w:rsidRPr="00780678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иком в течении всего срока действия договора ДМС без ограничений по числу обращений. Онлайн-консультации проводятся </w:t>
            </w:r>
            <w:proofErr w:type="spellStart"/>
            <w:r w:rsidRPr="00780678">
              <w:rPr>
                <w:rFonts w:ascii="Times New Roman" w:hAnsi="Times New Roman" w:cs="Times New Roman"/>
                <w:sz w:val="20"/>
                <w:szCs w:val="20"/>
              </w:rPr>
              <w:t>безлимитно</w:t>
            </w:r>
            <w:proofErr w:type="spellEnd"/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 по времени: с терапевтом / педиатром, с узкопрофильными врачами.</w:t>
            </w:r>
          </w:p>
          <w:p w:rsidR="00FC16C6" w:rsidRPr="00780678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Телепсихология</w:t>
            </w:r>
            <w:proofErr w:type="spellEnd"/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5C24F6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717A8" w:rsidRDefault="0073596A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и плановая </w:t>
            </w:r>
            <w:r w:rsidR="00FC16C6"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помощь в решении любых личных вопросов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FC16C6"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ованных, касающихся психического здоровья. Сервис предусматривает обращение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FC16C6" w:rsidRPr="00780678">
              <w:rPr>
                <w:rFonts w:ascii="Times New Roman" w:hAnsi="Times New Roman" w:cs="Times New Roman"/>
                <w:sz w:val="20"/>
                <w:szCs w:val="20"/>
              </w:rPr>
              <w:t>ованного лица за консультациями к психологу/психотерапевту, выполняемыми удаленно через сеть Интернет в режиме онлайн. Ограничений по длительности консультации – нет.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3" w:type="dxa"/>
          </w:tcPr>
          <w:p w:rsidR="00FC16C6" w:rsidRPr="00177A00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b/>
                <w:sz w:val="20"/>
                <w:szCs w:val="20"/>
              </w:rPr>
              <w:t>Дни здоровья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5C24F6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80678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дней здоровья с участием ведущих врачей ЛПУ-партнеров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>ика. Темы «Дней здоровья» определяются Страхователем.</w:t>
            </w:r>
          </w:p>
          <w:p w:rsidR="00FC16C6" w:rsidRPr="00780678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Формат проведения/ количество мероприятий: 4 очных мероприятия за каждый страховой год в офисе Страхователя (Москва, регионы РФ), включая маркетинговую поддержку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ика. Проведение очных «Дней здоровья» возможно только при благоприятной эпидемиологической обстановки. При невозможности проведения очных мероприятий,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ик организовывает услугу в </w:t>
            </w:r>
            <w:proofErr w:type="spellStart"/>
            <w:r w:rsidRPr="00780678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 формате.</w:t>
            </w:r>
          </w:p>
          <w:p w:rsidR="00FC16C6" w:rsidRPr="007717A8" w:rsidRDefault="00FC16C6" w:rsidP="00780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Опция «День здоровья» включает чтение лекции, ответы на вопросы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>ованных, проведение осмотра с минимальным набором манипуляций, «Круглый стол» с врачом. По итогу осмотра, проводимого с минимальным набором манипуляций, врач 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вучивает пациенту рекомендации.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3" w:type="dxa"/>
          </w:tcPr>
          <w:p w:rsidR="002A07A5" w:rsidRPr="002A07A5" w:rsidRDefault="002A07A5" w:rsidP="002A07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b/>
                <w:sz w:val="20"/>
                <w:szCs w:val="20"/>
              </w:rPr>
              <w:t>Альтернативный дополнительный способ сдачи анализов.</w:t>
            </w:r>
          </w:p>
          <w:p w:rsidR="002A07A5" w:rsidRPr="002A07A5" w:rsidRDefault="002A07A5" w:rsidP="002A0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сдавать медицинские анализы, назначенные врачом в ЛПУ по программе страхования на базе федеральных и/или частных клинических лабораторий с количеством действующих лабораторий, филиалов, заборных пунктов не менее 200 адресов по России, при этом региональный охват лабораторий должен покрывать все федеральные округа РФ. Сеть должна входить в актуальный перечень лабораторий, допущенных к проведению исследований на COVID-19 </w:t>
            </w:r>
            <w:proofErr w:type="spellStart"/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Роспотребнадзором</w:t>
            </w:r>
            <w:proofErr w:type="spellEnd"/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7A5" w:rsidRPr="002A07A5" w:rsidRDefault="002A07A5" w:rsidP="002A0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Сеть лабораторий определяется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иком.</w:t>
            </w:r>
          </w:p>
          <w:p w:rsidR="002A07A5" w:rsidRPr="002A07A5" w:rsidRDefault="002A07A5" w:rsidP="002A0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2A07A5" w:rsidRDefault="002A07A5" w:rsidP="002A0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объеме лабораторной диагностики в соответствии с Договором </w:t>
            </w:r>
            <w:r w:rsidRPr="002A07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2A07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</w:t>
            </w: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3" w:type="dxa"/>
          </w:tcPr>
          <w:p w:rsidR="00FC16C6" w:rsidRDefault="00FC16C6" w:rsidP="00D402A4">
            <w:pPr>
              <w:spacing w:after="0" w:line="240" w:lineRule="auto"/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Второе дистанционное мнение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t xml:space="preserve"> </w:t>
            </w:r>
          </w:p>
          <w:p w:rsidR="00FC16C6" w:rsidRPr="008030F7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получить альтернативное независимое экспертное заключение в отношении поставленного диагноза, медицинских показаний и плана лечения, полученных ранее и требующих уточнения. Консультации осуществляются экспертами ведущих клиник в России и за рубежом.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наличии не менее двух из перечисленных ниже критериев: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тяжелая форма заболевания;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длительное рецидивирующее течение заболевания;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отсутствие динамики / отрицательная динамика на фоне проведенного терапевтического / хирургического лечения на протяжении более 3 месяцев.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«Второе экспертное медицинское мнение за рубежом» включает: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Быстрое получение второго мнения у лучших специалистов.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одну консультацию по пяти областям медицины (онкология, неврология, ортопедия, кардиология и нефрология без привязки к дате постановки диагноза).</w:t>
            </w:r>
          </w:p>
          <w:p w:rsidR="00FC16C6" w:rsidRPr="007717A8" w:rsidRDefault="00FC16C6" w:rsidP="00D402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Медицинский перевод заключения на русский язык.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3" w:type="dxa"/>
          </w:tcPr>
          <w:p w:rsidR="00FC16C6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ысокоте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хнологичная медицинская помощь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8030F7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717A8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иком 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информационно-организационных услуг и содействия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ованным лицам для получения высокотехнологичной медицинской помощи (ВМП). Услуга предоставляется через вра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ча-куратора страховой компании.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2A07A5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3" w:type="dxa"/>
          </w:tcPr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Дежурство бригады скорой медицинской помощ</w:t>
            </w: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и.</w:t>
            </w:r>
          </w:p>
          <w:p w:rsidR="00FC16C6" w:rsidRPr="007717A8" w:rsidRDefault="00FC16C6" w:rsidP="00D01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Дежурство бригады скорой медицинской помощи на корпоративных мероприятиях без дополнительной оплаты (продолжительность д</w:t>
            </w:r>
            <w:r w:rsidR="0073596A">
              <w:rPr>
                <w:rFonts w:ascii="Times New Roman" w:hAnsi="Times New Roman" w:cs="Times New Roman"/>
                <w:sz w:val="20"/>
                <w:szCs w:val="20"/>
              </w:rPr>
              <w:t>ежурства до 6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-х часов, не менее </w:t>
            </w:r>
            <w:r w:rsidR="00D01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596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за один страховой 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год, по всей РФ).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2A07A5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3" w:type="dxa"/>
          </w:tcPr>
          <w:p w:rsidR="00FC16C6" w:rsidRDefault="00FC16C6" w:rsidP="00D402A4">
            <w:pPr>
              <w:spacing w:after="0" w:line="240" w:lineRule="auto"/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диагностики зрения «Здоровье глаз»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t xml:space="preserve"> </w:t>
            </w:r>
          </w:p>
          <w:p w:rsidR="00FC16C6" w:rsidRPr="008030F7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 в г. Москва.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Скрининговое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с целью проведения комплексной диагностики зрения.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• Консультация офтальмолога.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Рефрактометрия (исследование рефракции (преломляющей силы) глаза с использованием специальных аппаратов – рефрактометров).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• Офтальмометрия (измерение радиуса внешней кривизны роговицы с помощью специальных приборов –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офтальмометров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Пневмотонометрия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(измерение внутриглазного давления).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Определение остроты зрения.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Определение характера зрения.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Определение ведущего глаза.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Биомикроскопия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(бесконтактный осмотр глаза с помощью офтальмологической щелевой лампы).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Осмотр глазного дна с широким зрачком.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Подбор очков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7717A8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д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иагностики в рамках Программы медицинского страхования «Здоровье Глаз» всем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ованным лицам должны быть предоставлены рекомендации по: медикаментозному лечению, возможности пройти аппаратное или хирургическое лечение.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2A07A5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3" w:type="dxa"/>
          </w:tcPr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«Личный кабинет для HR»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Общие требования к работе HR портала: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6"/>
              </w:numPr>
              <w:tabs>
                <w:tab w:val="left" w:pos="189"/>
              </w:tabs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Доступ в режиме 24/7 через механизм «пароль/логин». </w:t>
            </w:r>
          </w:p>
          <w:p w:rsidR="00FC16C6" w:rsidRPr="00D402A4" w:rsidRDefault="00CE3F7B" w:rsidP="00D402A4">
            <w:pPr>
              <w:pStyle w:val="a3"/>
              <w:numPr>
                <w:ilvl w:val="0"/>
                <w:numId w:val="6"/>
              </w:numPr>
              <w:tabs>
                <w:tab w:val="left" w:pos="189"/>
              </w:tabs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="00FC16C6" w:rsidRPr="00D402A4">
              <w:rPr>
                <w:rFonts w:ascii="Times New Roman" w:hAnsi="Times New Roman" w:cs="Times New Roman"/>
                <w:sz w:val="20"/>
                <w:szCs w:val="20"/>
              </w:rPr>
              <w:t>ик обеспечивает соблюдение 152-ФЗ "О защите персональных данных" в рамках исполнения поручений Страхователя, требующих обработки персональных данных.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6"/>
              </w:numPr>
              <w:tabs>
                <w:tab w:val="left" w:pos="189"/>
              </w:tabs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HR портал должен поддерживаться операционной системой семейства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от уровня XP и выше в браузерах IE 10.0,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Mozilla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Firefox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Portable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12.0,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Chrome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49.0 и выше.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Требования к функциональности HR портала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«ДОГОВОР ДМС»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Данный раздел должен включать в себя следующую информацию по юр. лицу: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I. «ОБЩАЯ ИНФОРМАЦИЯ»: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договора 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актуальное количество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ованных на заданную дату  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список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ованных на заданную дату с указанием ФИО, планами и др. и возможность экспорта списка в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Эксель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в заданном Страхователем формате 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сумма годовой премии по договору на заданную дату (начисленной, оплаченной и подлежащей оплате)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менеджера-куратора по договору</w:t>
            </w:r>
          </w:p>
          <w:p w:rsidR="00FC16C6" w:rsidRPr="00D402A4" w:rsidRDefault="00FC16C6" w:rsidP="00D402A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возможность скачать печатную форму полиса по каждому сотруднику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II. «ДОКУМЕНТЫ»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«ДОГОВОР»: текст подписанного договора с приложениями (в формате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сканкопия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подписанного договора).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«ДОПОЛНИТЕЛЬНЫЕ СОГЛАШЕНИЯ»: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список подписанных доп. Соглашений с общей информацией (когда подписан, на какую сумму и т.д.), а также возможность экспорта Страхователем подготовленного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иком для подписания Страхователем очередного проекта доп. соглашения (должен быть загружен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иком в течение 5 рабочих дней после окончания отчетного квартала) и загрузка Страхователем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сканкопии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подписанных доп. Соглашений. 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«СЧЕТА»: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список выставленных счетов с указанием суммы счета со статусом «оплачено/подлежит оплате до» и возможность загрузить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сканкопию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счета и платежного поручения по факту оплаты счета Страхователем.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III. «ДЕЙСТВИЯ СО СПИСКОМ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ОВАННЫХ»: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«ПРИКРЕПЛЕНИЯ»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«ОТКРЕПЛЕНИЯ»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«ИЗМЕНЕНИЕ ПЛАНА»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«ИЗМЕНЕНИЕ ЛИЧНЫХ ДАННЫХ»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каждом разделе предусмотреть возможность: </w:t>
            </w:r>
          </w:p>
          <w:p w:rsidR="00FC16C6" w:rsidRPr="00EF2580" w:rsidRDefault="00FC16C6" w:rsidP="00EF2580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16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прикрепить/открепить/изменить план/изменить личную информацию вручную, заполнив соответствующие поля по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ованному на сайте </w:t>
            </w:r>
          </w:p>
          <w:p w:rsidR="00FC16C6" w:rsidRPr="00EF2580" w:rsidRDefault="00FC16C6" w:rsidP="00EF2580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16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загрузить информацию через импорт </w:t>
            </w:r>
            <w:proofErr w:type="spellStart"/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Эксель</w:t>
            </w:r>
            <w:proofErr w:type="spellEnd"/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файла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ab/>
              <w:t>Должна быть предусмотрена возможность п</w:t>
            </w:r>
            <w:r w:rsidR="00AD780E">
              <w:rPr>
                <w:rFonts w:ascii="Times New Roman" w:hAnsi="Times New Roman" w:cs="Times New Roman"/>
                <w:sz w:val="20"/>
                <w:szCs w:val="20"/>
              </w:rPr>
              <w:t>оиска сотрудника и родственника.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IV. «СТАТИСТИЧЕСКИЕ ОТЧЕТЫ»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«ВЫПЛАТЫ»: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наглядно (в виде графиков) на заданную дату видеть выплаты по ЛПУ, по городу обслуживания и по страховым рискам в разрезе сотрудники/родственники/дети с возможностью выгрузки данных в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Эксель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«УБЫТОЧНОСТЬ»: коэффициент убыточности по каждому договору на заданную дату.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ab/>
              <w:t>РАЗДЕЛ «ИСТОРИЯ»</w:t>
            </w:r>
          </w:p>
          <w:p w:rsidR="00FC16C6" w:rsidRPr="007717A8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Маршрут движения документов, а также история изменений администратором Страхователя на HR-портале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ика (кто, когда и во сколько отправил списки на прикрепление или открепление, изменял личные данные, загружал документы и т.д.)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Default="002A07A5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63" w:type="dxa"/>
          </w:tcPr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Личный кабинет на сайте </w:t>
            </w:r>
            <w:r w:rsidR="00CE3F7B">
              <w:rPr>
                <w:rFonts w:ascii="Times New Roman" w:hAnsi="Times New Roman" w:cs="Times New Roman"/>
                <w:b/>
                <w:sz w:val="20"/>
                <w:szCs w:val="20"/>
              </w:rPr>
              <w:t>Страховщ</w:t>
            </w:r>
            <w:r w:rsidRPr="00EF2580">
              <w:rPr>
                <w:rFonts w:ascii="Times New Roman" w:hAnsi="Times New Roman" w:cs="Times New Roman"/>
                <w:b/>
                <w:sz w:val="20"/>
                <w:szCs w:val="20"/>
              </w:rPr>
              <w:t>ика и в мобильном приложении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8030F7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EF2580" w:rsidRDefault="00135989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FC16C6" w:rsidRPr="00EF2580">
              <w:rPr>
                <w:rFonts w:ascii="Times New Roman" w:hAnsi="Times New Roman" w:cs="Times New Roman"/>
                <w:sz w:val="20"/>
                <w:szCs w:val="20"/>
              </w:rPr>
              <w:t>лайн сервис, в котором можно получить следующую информацию по договору ДМС:</w:t>
            </w:r>
          </w:p>
          <w:p w:rsidR="00FC16C6" w:rsidRPr="00EF2580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•  Номер полиса.</w:t>
            </w:r>
          </w:p>
          <w:p w:rsidR="00FC16C6" w:rsidRPr="00EF2580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•  Сроки действия полиса.</w:t>
            </w:r>
          </w:p>
          <w:p w:rsidR="00FC16C6" w:rsidRPr="00EF2580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• Контакты врача-куратора.</w:t>
            </w:r>
          </w:p>
          <w:p w:rsidR="00FC16C6" w:rsidRPr="00EF2580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• Контакты административного куратора.</w:t>
            </w:r>
          </w:p>
          <w:p w:rsidR="00FC16C6" w:rsidRPr="00EF2580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•  Перечень лечебных учреждений по программе страхования (на карте, списком).</w:t>
            </w:r>
          </w:p>
          <w:p w:rsidR="00FC16C6" w:rsidRPr="00EF2580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• Данные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ованного лица.</w:t>
            </w:r>
          </w:p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Заявка на запись в ЛПУ</w:t>
            </w:r>
          </w:p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Интеграция ЛК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ребенка и родителя</w:t>
            </w:r>
          </w:p>
          <w:p w:rsidR="00FC16C6" w:rsidRPr="007717A8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для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самостоятельно выписать «бонусный» полис ВЗР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Default="002A07A5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63" w:type="dxa"/>
          </w:tcPr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родственников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FC16C6" w:rsidRPr="008030F7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E9789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страхования родственников (родителей, супругов, детей) по корпоративным тарифам и на корпоративных условиях в рамках индивидуальных договоров ДМС, заключаемых между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иком 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ованным лицом - работником страхователя. Принятие на страхование осуществляется в течение 90 (девяноста) календарных дней с даты принятия на страхование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ованного лица (работника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 xml:space="preserve">Родственники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принимаю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>тся на страхование без анкетирования по программам и тарифам Договора с коэффициентом 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Прикрепление и внесение изменений в Договор страхования родственников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в срок до </w:t>
            </w:r>
            <w:r w:rsidR="004D64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до даты окончания срока действия договора. При увольнении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ованного работника </w:t>
            </w:r>
            <w:r w:rsidR="00E97896" w:rsidRPr="00E97896">
              <w:rPr>
                <w:rFonts w:ascii="Times New Roman" w:hAnsi="Times New Roman" w:cs="Times New Roman"/>
                <w:sz w:val="20"/>
                <w:szCs w:val="20"/>
              </w:rPr>
              <w:t>Договор не расторгается и действует до окончания срока, указанного в договоре.</w:t>
            </w:r>
          </w:p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Default="00FC16C6" w:rsidP="00EF258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</w:t>
            </w:r>
            <w:r w:rsidR="00CE3F7B">
              <w:rPr>
                <w:rFonts w:ascii="Times New Roman" w:hAnsi="Times New Roman" w:cs="Times New Roman"/>
                <w:b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на более высокую категорию программы.</w:t>
            </w:r>
            <w:r>
              <w:t xml:space="preserve"> </w:t>
            </w:r>
          </w:p>
          <w:p w:rsidR="00FC16C6" w:rsidRPr="008030F7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717A8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ованных сотрудников предоставляется возможность о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 xml:space="preserve">формить перевод в более высокую категорию Программы страхования при возмещении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>ованным лицом стоимостной разницы страховой премии за каждый год страхования за свой счет, при этом данная разница рассчитывается по дням пропорционально не истекшему сроку действия Договора в течение 90 (девяноста) календарных дней с даты принятия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трахование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лица.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Default="000E4861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63" w:type="dxa"/>
          </w:tcPr>
          <w:p w:rsidR="00FC16C6" w:rsidRDefault="00FC16C6" w:rsidP="00103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48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единого специально </w:t>
            </w:r>
            <w:r w:rsidRPr="00435D6D">
              <w:rPr>
                <w:rFonts w:ascii="Times New Roman" w:hAnsi="Times New Roman" w:cs="Times New Roman"/>
                <w:b/>
                <w:sz w:val="20"/>
                <w:szCs w:val="20"/>
              </w:rPr>
              <w:t>выделенного электронного адреса и выделенной бесплатной телефонной линии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(8-800…)</w:t>
            </w:r>
            <w:r w:rsidRPr="00103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D2F">
              <w:rPr>
                <w:rFonts w:ascii="Times New Roman" w:hAnsi="Times New Roman" w:cs="Times New Roman"/>
                <w:sz w:val="20"/>
                <w:szCs w:val="20"/>
              </w:rPr>
              <w:t>для обращений,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0348E">
              <w:rPr>
                <w:rFonts w:ascii="Times New Roman" w:hAnsi="Times New Roman" w:cs="Times New Roman"/>
                <w:sz w:val="20"/>
                <w:szCs w:val="20"/>
              </w:rPr>
              <w:t xml:space="preserve">ованных </w:t>
            </w:r>
            <w:r w:rsidR="00A4512B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Почт</w:t>
            </w:r>
            <w:r w:rsidR="00A451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4512B">
              <w:rPr>
                <w:rFonts w:ascii="Times New Roman" w:hAnsi="Times New Roman" w:cs="Times New Roman"/>
                <w:sz w:val="20"/>
                <w:szCs w:val="20"/>
              </w:rPr>
              <w:t>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16C6" w:rsidRPr="0067463A" w:rsidRDefault="00FC16C6" w:rsidP="001034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Услуга предоставляется </w:t>
            </w:r>
            <w:r w:rsidRPr="006746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6746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</w:tc>
      </w:tr>
    </w:tbl>
    <w:p w:rsidR="009957F6" w:rsidRDefault="009957F6" w:rsidP="0099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96F" w:rsidRDefault="000D296F" w:rsidP="0099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96F" w:rsidRPr="009957F6" w:rsidRDefault="000D296F" w:rsidP="0099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296F" w:rsidRPr="009957F6" w:rsidSect="00780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875"/>
    <w:multiLevelType w:val="hybridMultilevel"/>
    <w:tmpl w:val="03F2D350"/>
    <w:lvl w:ilvl="0" w:tplc="9C12D3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3F1A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69C1"/>
    <w:multiLevelType w:val="hybridMultilevel"/>
    <w:tmpl w:val="B3F09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453A"/>
    <w:multiLevelType w:val="hybridMultilevel"/>
    <w:tmpl w:val="1D70A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6A1"/>
    <w:multiLevelType w:val="hybridMultilevel"/>
    <w:tmpl w:val="98824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C480D"/>
    <w:multiLevelType w:val="hybridMultilevel"/>
    <w:tmpl w:val="7A4C4F00"/>
    <w:lvl w:ilvl="0" w:tplc="3A94C6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EA72B4"/>
    <w:multiLevelType w:val="hybridMultilevel"/>
    <w:tmpl w:val="5A6E81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0748BB"/>
    <w:multiLevelType w:val="hybridMultilevel"/>
    <w:tmpl w:val="EEC2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FA6"/>
    <w:multiLevelType w:val="hybridMultilevel"/>
    <w:tmpl w:val="084A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3B93"/>
    <w:multiLevelType w:val="hybridMultilevel"/>
    <w:tmpl w:val="4CFE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62ADC"/>
    <w:multiLevelType w:val="hybridMultilevel"/>
    <w:tmpl w:val="0C3A8E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39"/>
    <w:rsid w:val="00003648"/>
    <w:rsid w:val="00036C88"/>
    <w:rsid w:val="00054FF0"/>
    <w:rsid w:val="00063A85"/>
    <w:rsid w:val="000A721E"/>
    <w:rsid w:val="000D296F"/>
    <w:rsid w:val="000D308E"/>
    <w:rsid w:val="000E4861"/>
    <w:rsid w:val="0010348E"/>
    <w:rsid w:val="00135989"/>
    <w:rsid w:val="0017020E"/>
    <w:rsid w:val="00171F12"/>
    <w:rsid w:val="00177A00"/>
    <w:rsid w:val="001A431E"/>
    <w:rsid w:val="001F1B8A"/>
    <w:rsid w:val="00224C35"/>
    <w:rsid w:val="002303B8"/>
    <w:rsid w:val="00233AF6"/>
    <w:rsid w:val="00234712"/>
    <w:rsid w:val="002A07A5"/>
    <w:rsid w:val="00303B20"/>
    <w:rsid w:val="0031124D"/>
    <w:rsid w:val="00334944"/>
    <w:rsid w:val="0034300F"/>
    <w:rsid w:val="00353A96"/>
    <w:rsid w:val="003B1EF9"/>
    <w:rsid w:val="003F3BCD"/>
    <w:rsid w:val="00404D44"/>
    <w:rsid w:val="00417432"/>
    <w:rsid w:val="00435D6D"/>
    <w:rsid w:val="00460F79"/>
    <w:rsid w:val="004724F3"/>
    <w:rsid w:val="004A16C0"/>
    <w:rsid w:val="004D64D2"/>
    <w:rsid w:val="004E5F83"/>
    <w:rsid w:val="00547558"/>
    <w:rsid w:val="005C24F6"/>
    <w:rsid w:val="00655789"/>
    <w:rsid w:val="006740AF"/>
    <w:rsid w:val="0067463A"/>
    <w:rsid w:val="00682DBA"/>
    <w:rsid w:val="006A4699"/>
    <w:rsid w:val="006D3D2F"/>
    <w:rsid w:val="006D718A"/>
    <w:rsid w:val="006E0CF0"/>
    <w:rsid w:val="006E4E2E"/>
    <w:rsid w:val="007016D6"/>
    <w:rsid w:val="0073596A"/>
    <w:rsid w:val="007717A8"/>
    <w:rsid w:val="00780678"/>
    <w:rsid w:val="00786A1D"/>
    <w:rsid w:val="007D614D"/>
    <w:rsid w:val="008030F7"/>
    <w:rsid w:val="00832B47"/>
    <w:rsid w:val="00894A3B"/>
    <w:rsid w:val="008A5F71"/>
    <w:rsid w:val="008A6A21"/>
    <w:rsid w:val="0096158E"/>
    <w:rsid w:val="00970603"/>
    <w:rsid w:val="00970978"/>
    <w:rsid w:val="0098179F"/>
    <w:rsid w:val="00992896"/>
    <w:rsid w:val="009957F6"/>
    <w:rsid w:val="009A7D67"/>
    <w:rsid w:val="00A4512B"/>
    <w:rsid w:val="00A72768"/>
    <w:rsid w:val="00AA5DAA"/>
    <w:rsid w:val="00AD0BFB"/>
    <w:rsid w:val="00AD780E"/>
    <w:rsid w:val="00B40099"/>
    <w:rsid w:val="00B4295E"/>
    <w:rsid w:val="00B65347"/>
    <w:rsid w:val="00BA2998"/>
    <w:rsid w:val="00C040EE"/>
    <w:rsid w:val="00C47C5A"/>
    <w:rsid w:val="00C911B4"/>
    <w:rsid w:val="00CE3F7B"/>
    <w:rsid w:val="00D01638"/>
    <w:rsid w:val="00D14439"/>
    <w:rsid w:val="00D402A4"/>
    <w:rsid w:val="00D44547"/>
    <w:rsid w:val="00DB3D8B"/>
    <w:rsid w:val="00DD6C7A"/>
    <w:rsid w:val="00DF279F"/>
    <w:rsid w:val="00E321D8"/>
    <w:rsid w:val="00E97896"/>
    <w:rsid w:val="00EB1D04"/>
    <w:rsid w:val="00EE2E25"/>
    <w:rsid w:val="00EF2580"/>
    <w:rsid w:val="00EF3605"/>
    <w:rsid w:val="00EF4587"/>
    <w:rsid w:val="00F85969"/>
    <w:rsid w:val="00FA23D1"/>
    <w:rsid w:val="00FB4483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FE7C"/>
  <w15:chartTrackingRefBased/>
  <w15:docId w15:val="{B291E17C-2376-41EC-87FC-7225AB3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12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F45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F45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F45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F45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F4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Паниткова Мария Валерьевна</dc:creator>
  <cp:keywords/>
  <dc:description/>
  <cp:lastModifiedBy>Паниткова Мария Валерьевна</cp:lastModifiedBy>
  <cp:revision>3</cp:revision>
  <dcterms:created xsi:type="dcterms:W3CDTF">2023-07-06T12:43:00Z</dcterms:created>
  <dcterms:modified xsi:type="dcterms:W3CDTF">2023-12-04T14:57:00Z</dcterms:modified>
</cp:coreProperties>
</file>