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tabs>
          <w:tab w:val="clear" w:pos="708"/>
          <w:tab w:val="left" w:pos="6926" w:leader="none"/>
        </w:tabs>
        <w:spacing w:before="0" w:after="0"/>
        <w:ind w:left="0" w:right="0" w:firstLine="850"/>
        <w:jc w:val="center"/>
        <w:rPr>
          <w:b/>
          <w:bCs/>
          <w:color w:val="00000A"/>
          <w:sz w:val="20"/>
          <w:szCs w:val="20"/>
        </w:rPr>
      </w:pPr>
      <w:r>
        <w:rPr>
          <w:b/>
          <w:bCs/>
          <w:color w:val="00000A"/>
          <w:sz w:val="20"/>
          <w:szCs w:val="20"/>
        </w:rPr>
        <w:t>Договор поставки</w:t>
      </w:r>
    </w:p>
    <w:p>
      <w:pPr>
        <w:pStyle w:val="Normal"/>
        <w:spacing w:before="0" w:after="0"/>
        <w:ind w:left="0" w:right="0" w:firstLine="850"/>
        <w:rPr>
          <w:rFonts w:ascii="Times New Roman" w:hAnsi="Times New Roman"/>
          <w:b/>
          <w:bCs/>
          <w:color w:val="00000A"/>
          <w:sz w:val="20"/>
          <w:szCs w:val="20"/>
        </w:rPr>
      </w:pPr>
      <w:r>
        <w:rPr>
          <w:b/>
          <w:bCs/>
          <w:color w:val="00000A"/>
          <w:sz w:val="20"/>
          <w:szCs w:val="20"/>
        </w:rPr>
      </w:r>
    </w:p>
    <w:p>
      <w:pPr>
        <w:pStyle w:val="Normal"/>
        <w:tabs>
          <w:tab w:val="clear" w:pos="708"/>
          <w:tab w:val="right" w:pos="9639" w:leader="none"/>
        </w:tabs>
        <w:spacing w:before="0" w:after="0"/>
        <w:ind w:left="0" w:right="0" w:firstLine="850"/>
        <w:jc w:val="both"/>
        <w:rPr>
          <w:bCs/>
          <w:color w:val="00000A"/>
          <w:sz w:val="20"/>
          <w:szCs w:val="20"/>
        </w:rPr>
      </w:pPr>
      <w:r>
        <w:rPr>
          <w:bCs/>
          <w:color w:val="00000A"/>
          <w:sz w:val="20"/>
          <w:szCs w:val="20"/>
        </w:rPr>
        <w:t>г. Хабаровск                                                                                                                                   «___» _________ 2025 г.</w:t>
      </w:r>
    </w:p>
    <w:p>
      <w:pPr>
        <w:pStyle w:val="Normal"/>
        <w:tabs>
          <w:tab w:val="clear" w:pos="708"/>
          <w:tab w:val="right" w:pos="9639" w:leader="none"/>
        </w:tabs>
        <w:spacing w:before="0" w:after="0"/>
        <w:ind w:left="0" w:right="0" w:firstLine="850"/>
        <w:jc w:val="right"/>
        <w:rPr>
          <w:rFonts w:ascii="Times New Roman" w:hAnsi="Times New Roman"/>
          <w:bCs/>
          <w:color w:val="00000A"/>
          <w:sz w:val="20"/>
          <w:szCs w:val="20"/>
        </w:rPr>
      </w:pPr>
      <w:r>
        <w:rPr>
          <w:bCs/>
          <w:color w:val="00000A"/>
          <w:sz w:val="20"/>
          <w:szCs w:val="20"/>
        </w:rPr>
      </w:r>
    </w:p>
    <w:p>
      <w:pPr>
        <w:pStyle w:val="Normal"/>
        <w:spacing w:before="0" w:after="0"/>
        <w:ind w:firstLine="709"/>
        <w:jc w:val="both"/>
        <w:rPr/>
      </w:pPr>
      <w:r>
        <w:rPr>
          <w:rFonts w:ascii="Liberation Serif" w:hAnsi="Liberation Serif"/>
          <w:b/>
          <w:color w:val="00000A"/>
          <w:spacing w:val="4"/>
          <w:sz w:val="20"/>
          <w:szCs w:val="20"/>
        </w:rPr>
        <w:t xml:space="preserve">Акционерное общество «Дальневосточная распределительная сетевая компания» </w:t>
      </w:r>
      <w:r>
        <w:rPr>
          <w:rFonts w:ascii="Liberation Serif" w:hAnsi="Liberation Serif"/>
          <w:color w:val="00000A"/>
          <w:spacing w:val="4"/>
          <w:sz w:val="20"/>
          <w:szCs w:val="20"/>
        </w:rPr>
        <w:t>(АО «ДРСК»)</w:t>
      </w:r>
      <w:r>
        <w:rPr>
          <w:rFonts w:ascii="Liberation Serif" w:hAnsi="Liberation Serif"/>
          <w:color w:val="00000A"/>
          <w:spacing w:val="2"/>
          <w:sz w:val="20"/>
          <w:szCs w:val="20"/>
        </w:rPr>
        <w:t xml:space="preserve">, (далее – </w:t>
      </w:r>
      <w:r>
        <w:rPr>
          <w:rFonts w:ascii="Liberation Serif" w:hAnsi="Liberation Serif"/>
          <w:color w:val="00000A"/>
          <w:spacing w:val="4"/>
          <w:sz w:val="20"/>
          <w:szCs w:val="20"/>
        </w:rPr>
        <w:t>«Покупатель»), в лице директора филиала АО «ДРСК» «Хабаровские электрические сети» Сугоровского Максима Александровича, действующего на основании доверенности №3 от 01.01.2025 г., с одной стороны, и</w:t>
      </w:r>
      <w:r>
        <w:rPr>
          <w:rFonts w:ascii="Liberation Serif" w:hAnsi="Liberation Serif"/>
          <w:color w:val="00000A"/>
          <w:spacing w:val="10"/>
          <w:sz w:val="20"/>
          <w:szCs w:val="20"/>
        </w:rPr>
        <w:t xml:space="preserve"> ____________(___________________) </w:t>
      </w:r>
      <w:r>
        <w:rPr>
          <w:rFonts w:ascii="Liberation Serif" w:hAnsi="Liberation Serif"/>
          <w:color w:val="00000A"/>
          <w:spacing w:val="4"/>
          <w:sz w:val="20"/>
          <w:szCs w:val="20"/>
        </w:rPr>
        <w:t>(далее – «Поставщик»), в лице ____________________, действующего на основании _____________________,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pacing w:before="0" w:after="0"/>
        <w:ind w:left="0" w:right="0" w:firstLine="850"/>
        <w:jc w:val="both"/>
        <w:rPr>
          <w:rFonts w:ascii="Times New Roman" w:hAnsi="Times New Roman"/>
          <w:sz w:val="20"/>
          <w:szCs w:val="20"/>
        </w:rPr>
      </w:pPr>
      <w:r>
        <w:rPr>
          <w:sz w:val="20"/>
          <w:szCs w:val="20"/>
        </w:rPr>
      </w:r>
    </w:p>
    <w:p>
      <w:pPr>
        <w:pStyle w:val="Normal"/>
        <w:spacing w:before="0" w:after="0"/>
        <w:ind w:left="0" w:right="0" w:firstLine="850"/>
        <w:jc w:val="center"/>
        <w:rPr>
          <w:b/>
          <w:bCs/>
          <w:color w:val="00000A"/>
          <w:sz w:val="20"/>
          <w:szCs w:val="20"/>
        </w:rPr>
      </w:pPr>
      <w:r>
        <w:rPr>
          <w:b/>
          <w:bCs/>
          <w:color w:val="00000A"/>
          <w:sz w:val="20"/>
          <w:szCs w:val="20"/>
        </w:rPr>
        <w:t>Термины и определения</w:t>
      </w:r>
    </w:p>
    <w:p>
      <w:pPr>
        <w:pStyle w:val="Normal"/>
        <w:spacing w:before="0" w:after="0"/>
        <w:ind w:left="0" w:right="0" w:firstLine="850"/>
        <w:jc w:val="center"/>
        <w:rPr>
          <w:rFonts w:ascii="Times New Roman" w:hAnsi="Times New Roman"/>
          <w:b/>
          <w:bCs/>
          <w:color w:val="00000A"/>
          <w:sz w:val="20"/>
          <w:szCs w:val="20"/>
        </w:rPr>
      </w:pPr>
      <w:r>
        <w:rPr>
          <w:b/>
          <w:bCs/>
          <w:color w:val="00000A"/>
          <w:sz w:val="20"/>
          <w:szCs w:val="20"/>
        </w:rPr>
      </w:r>
    </w:p>
    <w:p>
      <w:pPr>
        <w:pStyle w:val="Normal"/>
        <w:shd w:val="clear" w:fill="FFFFFF"/>
        <w:ind w:left="0" w:right="0" w:firstLine="709"/>
        <w:jc w:val="both"/>
        <w:rPr/>
      </w:pPr>
      <w:r>
        <w:rPr>
          <w:rFonts w:ascii="Liberation Serif" w:hAnsi="Liberation Serif"/>
          <w:bCs/>
          <w:color w:val="00000A"/>
          <w:sz w:val="20"/>
          <w:szCs w:val="20"/>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fill="FFFFFF"/>
        <w:ind w:left="0" w:right="0" w:firstLine="709"/>
        <w:jc w:val="both"/>
        <w:rPr/>
      </w:pPr>
      <w:r>
        <w:rPr>
          <w:rFonts w:ascii="Liberation Serif" w:hAnsi="Liberation Serif"/>
          <w:b/>
          <w:color w:val="00000A"/>
          <w:sz w:val="20"/>
          <w:szCs w:val="20"/>
          <w:lang w:eastAsia="en-US"/>
        </w:rPr>
        <w:t>«Акт рекламации»</w:t>
      </w:r>
      <w:r>
        <w:rPr>
          <w:rFonts w:ascii="Liberation Serif" w:hAnsi="Liberation Serif"/>
          <w:color w:val="00000A"/>
          <w:sz w:val="20"/>
          <w:szCs w:val="20"/>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«Гарантийный срок»</w:t>
      </w:r>
      <w:r>
        <w:rPr>
          <w:rFonts w:ascii="Liberation Serif" w:hAnsi="Liberation Serif"/>
          <w:color w:val="00000A"/>
          <w:sz w:val="20"/>
          <w:szCs w:val="20"/>
        </w:rPr>
        <w:t xml:space="preserve"> </w:t>
      </w:r>
      <w:r>
        <w:rPr>
          <w:rFonts w:ascii="Liberation Serif" w:hAnsi="Liberation Serif"/>
          <w:color w:val="00000A"/>
          <w:sz w:val="20"/>
          <w:szCs w:val="20"/>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«Договор»</w:t>
      </w:r>
      <w:r>
        <w:rPr>
          <w:rFonts w:ascii="Liberation Serif" w:hAnsi="Liberation Serif"/>
          <w:color w:val="00000A"/>
          <w:sz w:val="20"/>
          <w:szCs w:val="20"/>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«Коммерческая тайна»</w:t>
      </w:r>
      <w:r>
        <w:rPr>
          <w:rFonts w:ascii="Liberation Serif" w:hAnsi="Liberation Serif"/>
          <w:color w:val="00000A"/>
          <w:sz w:val="20"/>
          <w:szCs w:val="20"/>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 xml:space="preserve">«Накладная ТОРГ-12» </w:t>
      </w:r>
      <w:r>
        <w:rPr>
          <w:rFonts w:ascii="Liberation Serif" w:hAnsi="Liberation Serif"/>
          <w:color w:val="00000A"/>
          <w:sz w:val="20"/>
          <w:szCs w:val="20"/>
          <w:lang w:eastAsia="en-US"/>
        </w:rPr>
        <w:t>–</w:t>
      </w:r>
      <w:r>
        <w:rPr>
          <w:rFonts w:ascii="Liberation Serif" w:hAnsi="Liberation Serif"/>
          <w:b/>
          <w:color w:val="00000A"/>
          <w:sz w:val="20"/>
          <w:szCs w:val="20"/>
          <w:lang w:eastAsia="en-US"/>
        </w:rPr>
        <w:t xml:space="preserve"> </w:t>
      </w:r>
      <w:r>
        <w:rPr>
          <w:rFonts w:ascii="Liberation Serif" w:hAnsi="Liberation Serif"/>
          <w:color w:val="00000A"/>
          <w:sz w:val="20"/>
          <w:szCs w:val="20"/>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 xml:space="preserve">«Отказ от Договора» </w:t>
      </w:r>
      <w:r>
        <w:rPr>
          <w:rFonts w:ascii="Liberation Serif" w:hAnsi="Liberation Serif"/>
          <w:color w:val="00000A"/>
          <w:sz w:val="20"/>
          <w:szCs w:val="20"/>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color w:val="00000A"/>
          <w:sz w:val="20"/>
          <w:szCs w:val="20"/>
          <w:lang w:eastAsia="en-US"/>
        </w:rPr>
        <w:t xml:space="preserve">«Партия Товара» </w:t>
      </w:r>
      <w:r>
        <w:rPr>
          <w:rFonts w:ascii="Liberation Serif" w:hAnsi="Liberation Serif"/>
          <w:b w:val="false"/>
          <w:color w:val="00000A"/>
          <w:sz w:val="20"/>
          <w:szCs w:val="20"/>
          <w:lang w:eastAsia="en-US"/>
        </w:rPr>
        <w:t xml:space="preserve">– часть Товара, единовременно поставляемая Покупателю Поставщиком, </w:t>
      </w:r>
      <w:r>
        <w:rPr>
          <w:rFonts w:ascii="Liberation Serif" w:hAnsi="Liberation Serif"/>
          <w:b w:val="false"/>
          <w:color w:val="00000A"/>
          <w:sz w:val="20"/>
          <w:szCs w:val="20"/>
          <w:lang w:val="ru-RU" w:eastAsia="en-US"/>
        </w:rPr>
        <w:t>характеристики</w:t>
      </w:r>
      <w:r>
        <w:rPr>
          <w:rFonts w:ascii="Liberation Serif" w:hAnsi="Liberation Serif"/>
          <w:b w:val="false"/>
          <w:color w:val="00000A"/>
          <w:sz w:val="20"/>
          <w:szCs w:val="20"/>
          <w:lang w:eastAsia="en-US"/>
        </w:rPr>
        <w:t xml:space="preserve"> которой определя</w:t>
      </w:r>
      <w:r>
        <w:rPr>
          <w:rFonts w:ascii="Liberation Serif" w:hAnsi="Liberation Serif"/>
          <w:b w:val="false"/>
          <w:color w:val="00000A"/>
          <w:sz w:val="20"/>
          <w:szCs w:val="20"/>
          <w:lang w:val="ru-RU" w:eastAsia="en-US"/>
        </w:rPr>
        <w:t>ю</w:t>
      </w:r>
      <w:r>
        <w:rPr>
          <w:rFonts w:ascii="Liberation Serif" w:hAnsi="Liberation Serif"/>
          <w:b w:val="false"/>
          <w:color w:val="00000A"/>
          <w:sz w:val="20"/>
          <w:szCs w:val="20"/>
          <w:lang w:eastAsia="en-US"/>
        </w:rPr>
        <w:t xml:space="preserve">тся </w:t>
      </w:r>
      <w:r>
        <w:rPr>
          <w:rFonts w:ascii="Liberation Serif" w:hAnsi="Liberation Serif"/>
          <w:b w:val="false"/>
          <w:color w:val="00000A"/>
          <w:sz w:val="20"/>
          <w:szCs w:val="20"/>
          <w:lang w:val="ru-RU" w:eastAsia="en-US"/>
        </w:rPr>
        <w:t xml:space="preserve">Заявкой Покупателя в соответствии со </w:t>
      </w:r>
      <w:r>
        <w:rPr>
          <w:rFonts w:ascii="Liberation Serif" w:hAnsi="Liberation Serif"/>
          <w:b w:val="false"/>
          <w:color w:val="00000A"/>
          <w:sz w:val="20"/>
          <w:szCs w:val="20"/>
          <w:lang w:eastAsia="en-US"/>
        </w:rPr>
        <w:t>Спецификацией, являющейся приложением к Договору.</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color w:val="00000A"/>
          <w:sz w:val="20"/>
          <w:szCs w:val="20"/>
          <w:lang w:val="ru-RU" w:eastAsia="en-US"/>
        </w:rPr>
        <w:t>«Применимое право»</w:t>
      </w:r>
      <w:r>
        <w:rPr>
          <w:rFonts w:ascii="Liberation Serif" w:hAnsi="Liberation Serif"/>
          <w:b w:val="false"/>
          <w:color w:val="00000A"/>
          <w:sz w:val="20"/>
          <w:szCs w:val="20"/>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left="0" w:right="0" w:firstLine="709"/>
        <w:jc w:val="both"/>
        <w:rPr/>
      </w:pPr>
      <w:r>
        <w:rPr>
          <w:rFonts w:ascii="Liberation Serif" w:hAnsi="Liberation Serif"/>
          <w:b/>
          <w:color w:val="00000A"/>
          <w:sz w:val="20"/>
          <w:szCs w:val="20"/>
          <w:lang w:eastAsia="en-US"/>
        </w:rPr>
        <w:t>«Рабочий день»</w:t>
      </w:r>
      <w:r>
        <w:rPr>
          <w:rFonts w:ascii="Liberation Serif" w:hAnsi="Liberation Serif"/>
          <w:color w:val="00000A"/>
          <w:sz w:val="20"/>
          <w:szCs w:val="20"/>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b/>
          <w:bCs/>
          <w:color w:val="00000A"/>
          <w:sz w:val="20"/>
          <w:szCs w:val="20"/>
          <w:lang w:val="ru-RU" w:eastAsia="en-US"/>
        </w:rPr>
        <w:t>«Цена Договора»</w:t>
      </w:r>
      <w:r>
        <w:rPr>
          <w:rFonts w:ascii="Liberation Serif" w:hAnsi="Liberation Serif"/>
          <w:b w:val="false"/>
          <w:bCs/>
          <w:color w:val="00000A"/>
          <w:sz w:val="20"/>
          <w:szCs w:val="20"/>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Heading3"/>
        <w:tabs>
          <w:tab w:val="clear" w:pos="708"/>
          <w:tab w:val="left" w:pos="0" w:leader="none"/>
        </w:tabs>
        <w:overflowPunct w:val="false"/>
        <w:spacing w:before="0" w:after="0"/>
        <w:ind w:left="0" w:right="0" w:firstLine="850"/>
        <w:jc w:val="both"/>
        <w:textAlignment w:val="baseline"/>
        <w:rPr>
          <w:rFonts w:ascii="Times New Roman" w:hAnsi="Times New Roman"/>
          <w:sz w:val="20"/>
          <w:szCs w:val="20"/>
        </w:rPr>
      </w:pPr>
      <w:r>
        <w:rPr>
          <w:rFonts w:ascii="Times New Roman" w:hAnsi="Times New Roman"/>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Предмет Договора</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Normal"/>
        <w:numPr>
          <w:ilvl w:val="1"/>
          <w:numId w:val="2"/>
        </w:numPr>
        <w:tabs>
          <w:tab w:val="clear" w:pos="708"/>
          <w:tab w:val="left" w:pos="1125" w:leader="none"/>
          <w:tab w:val="left" w:pos="1380" w:leader="none"/>
        </w:tabs>
        <w:spacing w:before="0" w:after="0"/>
        <w:ind w:left="0" w:right="0" w:firstLine="850"/>
        <w:jc w:val="both"/>
        <w:rPr/>
      </w:pPr>
      <w:r>
        <w:rPr>
          <w:bCs/>
          <w:color w:val="00000A"/>
          <w:sz w:val="20"/>
          <w:szCs w:val="20"/>
        </w:rPr>
        <w:t>Поставщик обязуется в порядке и сроки, установленные Договором, передать в собственность Покупателю</w:t>
      </w:r>
      <w:r>
        <w:rPr>
          <w:rFonts w:eastAsia="Calibri"/>
          <w:bCs/>
          <w:color w:val="00000A"/>
          <w:sz w:val="20"/>
          <w:szCs w:val="20"/>
          <w:lang w:eastAsia="en-US"/>
        </w:rPr>
        <w:t xml:space="preserve"> </w:t>
      </w:r>
      <w:r>
        <w:rPr>
          <w:rFonts w:eastAsia="Calibri"/>
          <w:bCs/>
          <w:i/>
          <w:color w:val="00000A"/>
          <w:sz w:val="20"/>
          <w:szCs w:val="20"/>
          <w:lang w:eastAsia="en-US"/>
        </w:rPr>
        <w:t>провод самонесущий</w:t>
      </w:r>
      <w:r>
        <w:rPr>
          <w:bCs/>
          <w:color w:val="00000A"/>
          <w:sz w:val="20"/>
          <w:szCs w:val="20"/>
        </w:rPr>
        <w:t xml:space="preserve"> (далее – «Товар») в соответствии со Спецификацией (Приложение №1 к Договору), а Покупатель обязуется принять Товар и уплатить Цену Договора.</w:t>
      </w:r>
    </w:p>
    <w:p>
      <w:pPr>
        <w:pStyle w:val="Normal"/>
        <w:numPr>
          <w:ilvl w:val="1"/>
          <w:numId w:val="2"/>
        </w:numPr>
        <w:tabs>
          <w:tab w:val="clear" w:pos="708"/>
          <w:tab w:val="left" w:pos="1125" w:leader="none"/>
          <w:tab w:val="left" w:pos="1380" w:leader="none"/>
        </w:tabs>
        <w:spacing w:before="0" w:after="0"/>
        <w:ind w:left="0" w:right="0" w:firstLine="850"/>
        <w:jc w:val="both"/>
        <w:rPr/>
      </w:pPr>
      <w:r>
        <w:rPr>
          <w:color w:val="00000A"/>
          <w:sz w:val="20"/>
          <w:szCs w:val="20"/>
        </w:rPr>
        <w:t xml:space="preserve">Наименование, ассортимент и количество Товара, а также сроки и место его поставки указываются в Спецификации </w:t>
      </w:r>
      <w:r>
        <w:rPr>
          <w:bCs/>
          <w:color w:val="00000A"/>
          <w:sz w:val="20"/>
          <w:szCs w:val="20"/>
        </w:rPr>
        <w:t>(Приложение №1 к Договору)</w:t>
      </w:r>
      <w:r>
        <w:rPr>
          <w:color w:val="00000A"/>
          <w:sz w:val="20"/>
          <w:szCs w:val="20"/>
        </w:rPr>
        <w:t>.</w:t>
      </w:r>
    </w:p>
    <w:p>
      <w:pPr>
        <w:pStyle w:val="Normal"/>
        <w:numPr>
          <w:ilvl w:val="1"/>
          <w:numId w:val="2"/>
        </w:numPr>
        <w:tabs>
          <w:tab w:val="clear" w:pos="708"/>
          <w:tab w:val="left" w:pos="1125" w:leader="none"/>
          <w:tab w:val="left" w:pos="1380" w:leader="none"/>
        </w:tabs>
        <w:spacing w:before="0" w:after="0"/>
        <w:ind w:left="0" w:right="0" w:firstLine="850"/>
        <w:jc w:val="both"/>
        <w:rPr>
          <w:bCs/>
          <w:color w:val="00000A"/>
          <w:sz w:val="20"/>
          <w:szCs w:val="20"/>
        </w:rPr>
      </w:pPr>
      <w:r>
        <w:rPr>
          <w:bCs/>
          <w:color w:val="00000A"/>
          <w:sz w:val="20"/>
          <w:szCs w:val="20"/>
        </w:rPr>
        <w:t>Поставка Товара по Договору осуществляется для нужд для нужд СП Центральные электрические сети филиала АО ДРСК Хабаровские электрические сети.</w:t>
      </w:r>
    </w:p>
    <w:p>
      <w:pPr>
        <w:pStyle w:val="Normal"/>
        <w:numPr>
          <w:ilvl w:val="1"/>
          <w:numId w:val="2"/>
        </w:numPr>
        <w:tabs>
          <w:tab w:val="clear" w:pos="708"/>
          <w:tab w:val="left" w:pos="1125" w:leader="none"/>
          <w:tab w:val="left" w:pos="1380" w:leader="none"/>
        </w:tabs>
        <w:spacing w:before="0" w:after="0"/>
        <w:ind w:left="0" w:right="0" w:firstLine="850"/>
        <w:jc w:val="both"/>
        <w:rPr/>
      </w:pPr>
      <w:bookmarkStart w:id="0" w:name="__DdeLink__1293_1537471449"/>
      <w:r>
        <w:rPr>
          <w:bCs/>
          <w:color w:val="00000A"/>
          <w:sz w:val="20"/>
          <w:szCs w:val="20"/>
        </w:rPr>
        <w:t xml:space="preserve">Общий срок поставки Товара: </w:t>
      </w:r>
      <w:bookmarkEnd w:id="0"/>
      <w:r>
        <w:rPr>
          <w:b/>
          <w:bCs/>
          <w:color w:val="00000A"/>
          <w:sz w:val="20"/>
          <w:szCs w:val="20"/>
        </w:rPr>
        <w:t xml:space="preserve">до </w:t>
      </w:r>
      <w:r>
        <w:rPr>
          <w:b/>
          <w:bCs/>
          <w:color w:val="00000A"/>
          <w:sz w:val="20"/>
          <w:szCs w:val="20"/>
        </w:rPr>
        <w:t>19</w:t>
      </w:r>
      <w:r>
        <w:rPr>
          <w:b/>
          <w:bCs/>
          <w:color w:val="00000A"/>
          <w:sz w:val="20"/>
          <w:szCs w:val="20"/>
        </w:rPr>
        <w:t>.0</w:t>
      </w:r>
      <w:r>
        <w:rPr>
          <w:b/>
          <w:bCs/>
          <w:color w:val="00000A"/>
          <w:sz w:val="20"/>
          <w:szCs w:val="20"/>
        </w:rPr>
        <w:t>6.</w:t>
      </w:r>
      <w:r>
        <w:rPr>
          <w:b/>
          <w:bCs/>
          <w:color w:val="00000A"/>
          <w:sz w:val="20"/>
          <w:szCs w:val="20"/>
        </w:rPr>
        <w:t>2026 г. с возможностью досрочной поставки.</w:t>
      </w:r>
    </w:p>
    <w:p>
      <w:pPr>
        <w:pStyle w:val="Normal"/>
        <w:tabs>
          <w:tab w:val="clear" w:pos="708"/>
          <w:tab w:val="left" w:pos="1125" w:leader="none"/>
          <w:tab w:val="left" w:pos="1380" w:leader="none"/>
        </w:tabs>
        <w:spacing w:before="0" w:after="0"/>
        <w:ind w:left="0" w:right="0" w:firstLine="850"/>
        <w:jc w:val="both"/>
        <w:rPr>
          <w:rFonts w:ascii="Times New Roman" w:hAnsi="Times New Roman"/>
          <w:b/>
          <w:bCs/>
          <w:color w:val="00000A"/>
          <w:sz w:val="20"/>
          <w:szCs w:val="20"/>
        </w:rPr>
      </w:pPr>
      <w:r>
        <w:rPr>
          <w:b/>
          <w:bCs/>
          <w:color w:val="00000A"/>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Цена Договора и порядок расчетов</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Normal"/>
        <w:numPr>
          <w:ilvl w:val="1"/>
          <w:numId w:val="2"/>
        </w:numPr>
        <w:tabs>
          <w:tab w:val="clear" w:pos="708"/>
          <w:tab w:val="left" w:pos="1425" w:leader="none"/>
        </w:tabs>
        <w:spacing w:before="0" w:after="0"/>
        <w:ind w:left="0" w:right="0" w:firstLine="850"/>
        <w:jc w:val="both"/>
        <w:rPr/>
      </w:pPr>
      <w:r>
        <w:rPr>
          <w:b w:val="false"/>
          <w:bCs w:val="false"/>
          <w:color w:val="00000A"/>
          <w:sz w:val="20"/>
          <w:szCs w:val="20"/>
        </w:rPr>
        <w:t>Цена Договора является предельной и составляет  ______________ (______________________), в том числе исчисляемый по ставке НДС, установленной ст. 164 Налогового кодекса РФ</w:t>
      </w:r>
    </w:p>
    <w:p>
      <w:pPr>
        <w:pStyle w:val="Normal"/>
        <w:numPr>
          <w:ilvl w:val="1"/>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Цена за единицу Товара определяется в соответствии со Спецификациями (Приложение №1 к Договору) и является фиксированной в течение всего срока действия Договора. </w:t>
      </w:r>
    </w:p>
    <w:p>
      <w:pPr>
        <w:pStyle w:val="Normal"/>
        <w:numPr>
          <w:ilvl w:val="1"/>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Цена Договора включает в себя прибыль Поставщика, а также все расходы и затраты Поставщика на: </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Производство и/или приобретение Товара;</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Подлежащие уплате налоги, сборы и пошлины (в том числе по таможенному оформлению Товара, если применимо);</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Заработную плату, накладные и командировочные расходы, перемещение персонала Поставщика; </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Оплата по Договору осуществляется Покупателем в течение  7 (семи) рабочих дней с даты подписания Сторонами Накладная ТОРГ-12/УПД на основании счета, выставленного Поставщиком, и с учетом пункта 2.6 Договора.</w:t>
      </w:r>
    </w:p>
    <w:p>
      <w:pPr>
        <w:pStyle w:val="ListParagraph"/>
        <w:widowControl/>
        <w:numPr>
          <w:ilvl w:val="1"/>
          <w:numId w:val="2"/>
        </w:numPr>
        <w:tabs>
          <w:tab w:val="clear" w:pos="708"/>
          <w:tab w:val="left" w:pos="1425" w:leader="none"/>
        </w:tabs>
        <w:spacing w:before="0" w:after="0"/>
        <w:ind w:left="0" w:right="0" w:firstLine="850"/>
        <w:contextualSpacing/>
        <w:jc w:val="both"/>
        <w:rPr>
          <w:color w:val="00000A"/>
          <w:sz w:val="20"/>
          <w:szCs w:val="20"/>
        </w:rPr>
      </w:pPr>
      <w:r>
        <w:rPr>
          <w:color w:val="00000A"/>
          <w:sz w:val="20"/>
          <w:szCs w:val="20"/>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tabs>
          <w:tab w:val="clear" w:pos="708"/>
          <w:tab w:val="left" w:pos="1425" w:leader="none"/>
        </w:tabs>
        <w:spacing w:before="0" w:after="0"/>
        <w:ind w:left="0" w:right="0" w:firstLine="850"/>
        <w:contextualSpacing/>
        <w:jc w:val="both"/>
        <w:rPr>
          <w:bCs/>
          <w:color w:val="00000A"/>
          <w:sz w:val="20"/>
          <w:szCs w:val="20"/>
        </w:rPr>
      </w:pPr>
      <w:r>
        <w:rPr>
          <w:bCs/>
          <w:color w:val="00000A"/>
          <w:sz w:val="20"/>
          <w:szCs w:val="20"/>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Индексация Цены Договора не допускается.</w:t>
      </w:r>
    </w:p>
    <w:p>
      <w:pPr>
        <w:pStyle w:val="Normal"/>
        <w:numPr>
          <w:ilvl w:val="1"/>
          <w:numId w:val="2"/>
        </w:numPr>
        <w:tabs>
          <w:tab w:val="clear" w:pos="708"/>
          <w:tab w:val="left" w:pos="1425" w:leader="none"/>
        </w:tabs>
        <w:spacing w:before="0" w:after="0"/>
        <w:ind w:left="0" w:right="0" w:firstLine="850"/>
        <w:jc w:val="both"/>
        <w:rPr/>
      </w:pPr>
      <w:r>
        <w:rPr>
          <w:color w:val="00000A"/>
          <w:sz w:val="20"/>
          <w:szCs w:val="20"/>
        </w:rPr>
        <w:t>Поставщик обязан представить Покупателю счета</w:t>
      </w:r>
      <w:r>
        <w:rPr>
          <w:bCs/>
          <w:color w:val="00000A"/>
          <w:sz w:val="20"/>
          <w:szCs w:val="20"/>
        </w:rPr>
        <w:t>-</w:t>
      </w:r>
      <w:r>
        <w:rPr>
          <w:color w:val="00000A"/>
          <w:sz w:val="20"/>
          <w:szCs w:val="20"/>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color w:val="00000A"/>
          <w:sz w:val="20"/>
          <w:szCs w:val="20"/>
        </w:rPr>
        <w:t>-</w:t>
      </w:r>
      <w:r>
        <w:rPr>
          <w:color w:val="00000A"/>
          <w:sz w:val="20"/>
          <w:szCs w:val="20"/>
        </w:rPr>
        <w:t>фактуры в течение 3 (трех) рабочих дней с даты получения соответствующего письменного требования Покупателя.</w:t>
      </w:r>
    </w:p>
    <w:p>
      <w:pPr>
        <w:pStyle w:val="Normal"/>
        <w:widowControl w:val="false"/>
        <w:numPr>
          <w:ilvl w:val="1"/>
          <w:numId w:val="2"/>
        </w:numPr>
        <w:tabs>
          <w:tab w:val="clear" w:pos="708"/>
          <w:tab w:val="left" w:pos="1425" w:leader="none"/>
        </w:tabs>
        <w:bidi w:val="0"/>
        <w:spacing w:before="0" w:after="0"/>
        <w:ind w:left="0" w:right="0" w:firstLine="850"/>
        <w:jc w:val="both"/>
        <w:rPr>
          <w:color w:val="00000A"/>
          <w:sz w:val="20"/>
          <w:szCs w:val="20"/>
        </w:rPr>
      </w:pPr>
      <w:r>
        <w:rPr>
          <w:color w:val="00000A"/>
          <w:sz w:val="20"/>
          <w:szCs w:val="20"/>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Подрядчиком товара.</w:t>
      </w:r>
    </w:p>
    <w:p>
      <w:pPr>
        <w:pStyle w:val="Normal"/>
        <w:widowControl w:val="false"/>
        <w:tabs>
          <w:tab w:val="clear" w:pos="708"/>
          <w:tab w:val="left" w:pos="567" w:leader="none"/>
          <w:tab w:val="left" w:pos="1025" w:leader="none"/>
          <w:tab w:val="left" w:pos="1188" w:leader="none"/>
          <w:tab w:val="left" w:pos="1650" w:leader="none"/>
        </w:tabs>
        <w:bidi w:val="0"/>
        <w:spacing w:before="0" w:after="0"/>
        <w:ind w:left="0" w:right="0" w:firstLine="850"/>
        <w:jc w:val="both"/>
        <w:rPr>
          <w:rFonts w:ascii="Times New Roman" w:hAnsi="Times New Roman"/>
          <w:color w:val="00000A"/>
          <w:sz w:val="20"/>
          <w:szCs w:val="20"/>
        </w:rPr>
      </w:pPr>
      <w:r>
        <w:rPr>
          <w:color w:val="00000A"/>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Порядок поставки и приемки Товара</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Поставка Товара осуществляется согласно спецификациям (Приложение №1 к Договору) настоящего Договора.</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Качество, комплектность, количество и ассортимент поставляемого по Договору Товара должны соответствовать с спецификациям (Приложение №1 к Договору), требованиям Договора, а также Применимого права.</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сертификат качества;</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технический паспорт на русском языке;</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инструкция по эксплуатации на русском языке;</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упаковочный лист;</w:t>
      </w:r>
    </w:p>
    <w:p>
      <w:pPr>
        <w:pStyle w:val="Normal"/>
        <w:numPr>
          <w:ilvl w:val="0"/>
          <w:numId w:val="3"/>
        </w:numPr>
        <w:tabs>
          <w:tab w:val="clear" w:pos="708"/>
          <w:tab w:val="left" w:pos="1380" w:leader="none"/>
        </w:tabs>
        <w:spacing w:before="0" w:after="0"/>
        <w:ind w:left="0" w:right="0" w:firstLine="850"/>
        <w:jc w:val="both"/>
        <w:rPr>
          <w:color w:val="00000A"/>
          <w:sz w:val="20"/>
          <w:szCs w:val="20"/>
        </w:rPr>
      </w:pPr>
      <w:r>
        <w:rPr>
          <w:color w:val="00000A"/>
          <w:sz w:val="20"/>
          <w:szCs w:val="20"/>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8"/>
          <w:tab w:val="left" w:pos="1380" w:leader="none"/>
        </w:tabs>
        <w:spacing w:before="0" w:after="0"/>
        <w:ind w:left="0" w:right="0" w:firstLine="850"/>
        <w:jc w:val="both"/>
        <w:rPr>
          <w:color w:val="00000A"/>
          <w:sz w:val="20"/>
          <w:szCs w:val="20"/>
        </w:rPr>
      </w:pPr>
      <w:r>
        <w:rPr>
          <w:color w:val="00000A"/>
          <w:sz w:val="20"/>
          <w:szCs w:val="20"/>
        </w:rPr>
        <w:t>накладная ТОРГ-12/УПД.</w:t>
      </w:r>
    </w:p>
    <w:p>
      <w:pPr>
        <w:pStyle w:val="ListParagraph"/>
        <w:widowControl/>
        <w:numPr>
          <w:ilvl w:val="1"/>
          <w:numId w:val="2"/>
        </w:numPr>
        <w:tabs>
          <w:tab w:val="clear" w:pos="708"/>
          <w:tab w:val="left" w:pos="1380" w:leader="none"/>
        </w:tabs>
        <w:spacing w:before="0" w:after="0"/>
        <w:ind w:left="0" w:right="0" w:firstLine="850"/>
        <w:contextualSpacing/>
        <w:jc w:val="both"/>
        <w:rPr/>
      </w:pPr>
      <w:bookmarkStart w:id="1" w:name="_Ref361408474"/>
      <w:r>
        <w:rPr>
          <w:bCs/>
          <w:color w:val="00000A"/>
          <w:sz w:val="20"/>
          <w:szCs w:val="20"/>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color w:val="00000A"/>
          <w:sz w:val="20"/>
          <w:szCs w:val="20"/>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8"/>
          <w:tab w:val="left" w:pos="1380" w:leader="none"/>
        </w:tabs>
        <w:spacing w:before="0" w:after="0"/>
        <w:ind w:left="0" w:right="0" w:firstLine="850"/>
        <w:contextualSpacing/>
        <w:jc w:val="both"/>
        <w:rPr/>
      </w:pPr>
      <w:r>
        <w:rPr>
          <w:color w:val="00000A"/>
          <w:sz w:val="20"/>
          <w:szCs w:val="20"/>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color w:val="00000A"/>
          <w:sz w:val="20"/>
          <w:szCs w:val="20"/>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спецификациях (Приложение №1 к Договору). </w:t>
      </w:r>
    </w:p>
    <w:p>
      <w:pPr>
        <w:pStyle w:val="ListParagraph"/>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tabs>
          <w:tab w:val="clear" w:pos="708"/>
          <w:tab w:val="left" w:pos="1380" w:leader="none"/>
        </w:tabs>
        <w:spacing w:before="0" w:after="0"/>
        <w:ind w:left="0" w:right="0" w:firstLine="850"/>
        <w:contextualSpacing/>
        <w:jc w:val="both"/>
        <w:rPr/>
      </w:pPr>
      <w:r>
        <w:rPr>
          <w:color w:val="00000A"/>
          <w:sz w:val="20"/>
          <w:szCs w:val="20"/>
        </w:rPr>
        <w:t xml:space="preserve">Погрузка, доставка, разгрузка и перемещение Товара (в том числе по территории Покупателя) </w:t>
      </w:r>
      <w:r>
        <w:rPr>
          <w:bCs/>
          <w:color w:val="00000A"/>
          <w:sz w:val="20"/>
          <w:szCs w:val="20"/>
        </w:rPr>
        <w:t>осуществляется</w:t>
      </w:r>
      <w:r>
        <w:rPr>
          <w:color w:val="00000A"/>
          <w:sz w:val="20"/>
          <w:szCs w:val="20"/>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8"/>
          <w:tab w:val="left" w:pos="1380" w:leader="none"/>
        </w:tabs>
        <w:spacing w:before="0" w:after="0"/>
        <w:ind w:left="0" w:right="0" w:firstLine="850"/>
        <w:contextualSpacing/>
        <w:jc w:val="both"/>
        <w:rPr/>
      </w:pPr>
      <w:bookmarkStart w:id="2" w:name="_Ref361396594"/>
      <w:r>
        <w:rPr>
          <w:color w:val="00000A"/>
          <w:sz w:val="20"/>
          <w:szCs w:val="20"/>
        </w:rPr>
        <w:t>Датой поставки Товара является дата подписания Сторонами Накладная ТОРГ-12/УПД.</w:t>
      </w:r>
      <w:bookmarkEnd w:id="2"/>
      <w:r>
        <w:rPr>
          <w:color w:val="00000A"/>
          <w:sz w:val="20"/>
          <w:szCs w:val="20"/>
        </w:rPr>
        <w:t xml:space="preserve"> </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Приемка Товара по осуществляется Покупателем в дату поставки Товара. </w:t>
      </w:r>
    </w:p>
    <w:p>
      <w:pPr>
        <w:pStyle w:val="ListParagraph"/>
        <w:numPr>
          <w:ilvl w:val="1"/>
          <w:numId w:val="2"/>
        </w:numPr>
        <w:tabs>
          <w:tab w:val="clear" w:pos="708"/>
          <w:tab w:val="left" w:pos="1380" w:leader="none"/>
        </w:tabs>
        <w:spacing w:before="0" w:after="0"/>
        <w:ind w:left="0" w:right="0" w:firstLine="850"/>
        <w:contextualSpacing/>
        <w:jc w:val="both"/>
        <w:rPr/>
      </w:pPr>
      <w:r>
        <w:rPr>
          <w:color w:val="00000A"/>
          <w:sz w:val="20"/>
          <w:szCs w:val="20"/>
        </w:rPr>
        <w:t xml:space="preserve">Если при передаче Товара Покупателю будет обнаружено несоответствие Товара </w:t>
      </w:r>
      <w:r>
        <w:rPr>
          <w:bCs/>
          <w:color w:val="00000A"/>
          <w:sz w:val="20"/>
          <w:szCs w:val="20"/>
        </w:rPr>
        <w:t>спецификациям (Приложение №1 к Договору)</w:t>
      </w:r>
      <w:r>
        <w:rPr>
          <w:color w:val="00000A"/>
          <w:sz w:val="20"/>
          <w:szCs w:val="20"/>
        </w:rPr>
        <w:t>, Покупатель вправе отказаться от получения Товара, сделав соответствующую отметку в Накладная ТОРГ-12/УПД.</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pPr>
        <w:pStyle w:val="Normal"/>
        <w:tabs>
          <w:tab w:val="clear" w:pos="708"/>
          <w:tab w:val="left" w:pos="1380" w:leader="none"/>
        </w:tabs>
        <w:spacing w:before="0" w:after="0"/>
        <w:ind w:left="0" w:right="0" w:firstLine="850"/>
        <w:jc w:val="both"/>
        <w:rPr>
          <w:color w:val="00000A"/>
          <w:sz w:val="20"/>
          <w:szCs w:val="20"/>
        </w:rPr>
      </w:pPr>
      <w:bookmarkStart w:id="3" w:name="_Ref361408232"/>
      <w:bookmarkEnd w:id="3"/>
      <w:r>
        <w:rPr>
          <w:color w:val="00000A"/>
          <w:sz w:val="20"/>
          <w:szCs w:val="20"/>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3.11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8"/>
          <w:tab w:val="left" w:pos="1380" w:leader="none"/>
        </w:tabs>
        <w:spacing w:before="0" w:after="0"/>
        <w:ind w:left="0" w:right="0" w:firstLine="850"/>
        <w:contextualSpacing/>
        <w:jc w:val="both"/>
        <w:rPr/>
      </w:pPr>
      <w:r>
        <w:rPr>
          <w:color w:val="00000A"/>
          <w:sz w:val="20"/>
          <w:szCs w:val="20"/>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A"/>
          <w:sz w:val="20"/>
          <w:szCs w:val="20"/>
        </w:rPr>
        <w:t xml:space="preserve"> </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Поставщик обязан не более чем за 5 рабочих дней до даты начала отгрузки Товара  в адрес Покупателя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до места поставки. Уведомление составляется по форме приложения №2 к настоящему договору.</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В случае поступления на склад Грузополучателя Товара  без вышеуказанного уведомления, Покупатель вправе:</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 принять Товар  на ответственное хранение и считается, что Поставщик не исполнил свои обязательства по поставке Товара  до момента поступления таких документов;</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либо</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 xml:space="preserve">- принять Товар  в соответствии с условиями договора и предъявить Поставщику требование об уплате штрафа в размере 20% от стоимости поставленного Товара .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поставленного Покупателю Товара . </w:t>
      </w:r>
    </w:p>
    <w:p>
      <w:pPr>
        <w:pStyle w:val="Normal"/>
        <w:tabs>
          <w:tab w:val="clear" w:pos="708"/>
          <w:tab w:val="left" w:pos="1380" w:leader="none"/>
        </w:tabs>
        <w:spacing w:before="0" w:after="0"/>
        <w:ind w:left="0" w:right="0" w:firstLine="850"/>
        <w:jc w:val="both"/>
        <w:rPr/>
      </w:pPr>
      <w:r>
        <w:rPr>
          <w:bCs/>
          <w:color w:val="00000A"/>
          <w:sz w:val="20"/>
          <w:szCs w:val="20"/>
        </w:rPr>
        <w:t xml:space="preserve">В случае предъявления налоговыми органами претензий и требований к Покупателю, связанных с предоставлением Поставщиком недостоверных сведений о </w:t>
      </w:r>
      <w:r>
        <w:rPr>
          <w:color w:val="00000A"/>
          <w:sz w:val="20"/>
          <w:szCs w:val="20"/>
        </w:rPr>
        <w:t>Грузоотправителя Товара и Транспортной компании</w:t>
      </w:r>
      <w:r>
        <w:rPr>
          <w:bCs/>
          <w:color w:val="00000A"/>
          <w:sz w:val="20"/>
          <w:szCs w:val="20"/>
        </w:rPr>
        <w:t>, Поставщик обязан компенсировать все убытки Покупателя, вызванные такими претензиями и требованиями.</w:t>
      </w:r>
    </w:p>
    <w:p>
      <w:pPr>
        <w:pStyle w:val="Normal"/>
        <w:spacing w:before="0" w:after="0"/>
        <w:ind w:left="0" w:right="0" w:firstLine="850"/>
        <w:jc w:val="both"/>
        <w:rPr>
          <w:rFonts w:ascii="Times New Roman" w:hAnsi="Times New Roman"/>
          <w:sz w:val="20"/>
          <w:szCs w:val="20"/>
        </w:rPr>
      </w:pPr>
      <w:r>
        <w:rPr>
          <w:sz w:val="20"/>
          <w:szCs w:val="20"/>
        </w:rPr>
      </w:r>
    </w:p>
    <w:p>
      <w:pPr>
        <w:pStyle w:val="ListParagraph"/>
        <w:numPr>
          <w:ilvl w:val="0"/>
          <w:numId w:val="2"/>
        </w:numPr>
        <w:spacing w:before="0" w:after="0"/>
        <w:ind w:left="0" w:right="0" w:firstLine="850"/>
        <w:contextualSpacing/>
        <w:jc w:val="center"/>
        <w:rPr>
          <w:b/>
          <w:color w:val="00000A"/>
          <w:sz w:val="20"/>
          <w:szCs w:val="20"/>
        </w:rPr>
      </w:pPr>
      <w:r>
        <w:rPr>
          <w:b/>
          <w:color w:val="00000A"/>
          <w:sz w:val="20"/>
          <w:szCs w:val="20"/>
        </w:rPr>
        <w:t>Гарантийный срок</w:t>
      </w:r>
    </w:p>
    <w:p>
      <w:pPr>
        <w:pStyle w:val="ListParagraph"/>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ТОРГ-12/УПД. Гарантийный срок может быть продлен в соответствии с условиями Договора. </w:t>
      </w:r>
    </w:p>
    <w:p>
      <w:pPr>
        <w:pStyle w:val="ListParagraph"/>
        <w:tabs>
          <w:tab w:val="clear" w:pos="708"/>
          <w:tab w:val="left" w:pos="1410" w:leader="none"/>
        </w:tabs>
        <w:spacing w:before="0" w:after="0"/>
        <w:ind w:left="0" w:right="0" w:firstLine="850"/>
        <w:contextualSpacing/>
        <w:jc w:val="both"/>
        <w:rPr>
          <w:color w:val="00000A"/>
          <w:sz w:val="20"/>
          <w:szCs w:val="20"/>
        </w:rPr>
      </w:pPr>
      <w:r>
        <w:rPr>
          <w:color w:val="00000A"/>
          <w:sz w:val="20"/>
          <w:szCs w:val="20"/>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tabs>
          <w:tab w:val="clear" w:pos="708"/>
          <w:tab w:val="left" w:pos="1410" w:leader="none"/>
        </w:tabs>
        <w:spacing w:before="0" w:after="0"/>
        <w:ind w:left="0" w:right="0" w:firstLine="850"/>
        <w:jc w:val="both"/>
        <w:rPr/>
      </w:pPr>
      <w:r>
        <w:rPr>
          <w:color w:val="00000A"/>
          <w:sz w:val="20"/>
          <w:szCs w:val="20"/>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4" w:name="OLE_LINK6"/>
      <w:bookmarkStart w:id="5" w:name="OLE_LINK5"/>
      <w:r>
        <w:rPr>
          <w:color w:val="00000A"/>
          <w:sz w:val="20"/>
          <w:szCs w:val="20"/>
        </w:rPr>
        <w:t>Покупателем в соответствии с пунктом 4.3 Договора</w:t>
      </w:r>
      <w:bookmarkEnd w:id="4"/>
      <w:bookmarkEnd w:id="5"/>
      <w:r>
        <w:rPr>
          <w:color w:val="00000A"/>
          <w:sz w:val="20"/>
          <w:szCs w:val="20"/>
        </w:rPr>
        <w:t xml:space="preserve">, путем замены или ремонта Товара. </w:t>
      </w:r>
    </w:p>
    <w:p>
      <w:pPr>
        <w:pStyle w:val="Normal"/>
        <w:widowControl/>
        <w:tabs>
          <w:tab w:val="clear" w:pos="708"/>
          <w:tab w:val="left" w:pos="1410" w:leader="none"/>
        </w:tabs>
        <w:spacing w:before="0" w:after="0"/>
        <w:ind w:left="0" w:right="0" w:firstLine="850"/>
        <w:jc w:val="both"/>
        <w:rPr>
          <w:color w:val="00000A"/>
          <w:sz w:val="20"/>
          <w:szCs w:val="20"/>
        </w:rPr>
      </w:pPr>
      <w:r>
        <w:rPr>
          <w:color w:val="00000A"/>
          <w:sz w:val="20"/>
          <w:szCs w:val="20"/>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tabs>
          <w:tab w:val="clear" w:pos="708"/>
          <w:tab w:val="left" w:pos="1134" w:leader="none"/>
        </w:tabs>
        <w:spacing w:before="0" w:after="0"/>
        <w:ind w:left="0" w:right="0" w:firstLine="850"/>
        <w:jc w:val="both"/>
        <w:rPr>
          <w:rFonts w:ascii="Times New Roman" w:hAnsi="Times New Roman"/>
          <w:color w:val="00000A"/>
          <w:sz w:val="20"/>
          <w:szCs w:val="20"/>
        </w:rPr>
      </w:pPr>
      <w:r>
        <w:rPr>
          <w:color w:val="00000A"/>
          <w:sz w:val="20"/>
          <w:szCs w:val="20"/>
        </w:rPr>
      </w:r>
    </w:p>
    <w:p>
      <w:pPr>
        <w:pStyle w:val="Normal"/>
        <w:numPr>
          <w:ilvl w:val="0"/>
          <w:numId w:val="2"/>
        </w:numPr>
        <w:spacing w:before="0" w:after="0"/>
        <w:ind w:left="0" w:right="0" w:firstLine="850"/>
        <w:jc w:val="center"/>
        <w:rPr>
          <w:b/>
          <w:bCs/>
          <w:color w:val="00000A"/>
          <w:sz w:val="20"/>
          <w:szCs w:val="20"/>
        </w:rPr>
      </w:pPr>
      <w:r>
        <w:rPr>
          <w:b/>
          <w:bCs/>
          <w:color w:val="00000A"/>
          <w:sz w:val="20"/>
          <w:szCs w:val="20"/>
        </w:rPr>
        <w:t>Ответственность Сторон</w:t>
      </w:r>
    </w:p>
    <w:p>
      <w:pPr>
        <w:pStyle w:val="Normal"/>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410" w:leader="none"/>
        </w:tabs>
        <w:spacing w:before="0" w:after="0"/>
        <w:ind w:left="0" w:right="0" w:firstLine="850"/>
        <w:jc w:val="both"/>
        <w:rPr/>
      </w:pPr>
      <w:r>
        <w:rPr>
          <w:bCs/>
          <w:color w:val="00000A"/>
          <w:sz w:val="20"/>
          <w:szCs w:val="20"/>
        </w:rPr>
        <w:t xml:space="preserve">В случае нарушения Покупателем сроков оплаты, установленных разделом 2 Договора, Поставщик вправе </w:t>
      </w:r>
      <w:r>
        <w:rPr>
          <w:color w:val="00000A"/>
          <w:sz w:val="20"/>
          <w:szCs w:val="20"/>
        </w:rPr>
        <w:t>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8"/>
          <w:tab w:val="left" w:pos="1410" w:leader="none"/>
        </w:tabs>
        <w:spacing w:before="0" w:after="0"/>
        <w:ind w:left="0" w:right="0" w:firstLine="850"/>
        <w:jc w:val="both"/>
        <w:rPr/>
      </w:pPr>
      <w:r>
        <w:rPr>
          <w:bCs/>
          <w:color w:val="00000A"/>
          <w:sz w:val="20"/>
          <w:szCs w:val="20"/>
        </w:rPr>
        <w:t xml:space="preserve">В случае </w:t>
      </w:r>
      <w:r>
        <w:rPr>
          <w:color w:val="00000A"/>
          <w:sz w:val="20"/>
          <w:szCs w:val="20"/>
        </w:rPr>
        <w:t>нарушения Поставщиком обязательств по поставке Товара (</w:t>
      </w:r>
      <w:r>
        <w:rPr>
          <w:rFonts w:eastAsia="Calibri"/>
          <w:bCs/>
          <w:color w:val="00000A"/>
          <w:sz w:val="20"/>
          <w:szCs w:val="20"/>
        </w:rPr>
        <w:t>нарушение срока поставки, недопоставка)</w:t>
      </w:r>
      <w:r>
        <w:rPr>
          <w:color w:val="00000A"/>
          <w:sz w:val="20"/>
          <w:szCs w:val="20"/>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tabs>
          <w:tab w:val="clear" w:pos="708"/>
          <w:tab w:val="left" w:pos="1410" w:leader="none"/>
        </w:tabs>
        <w:spacing w:before="0" w:after="0"/>
        <w:ind w:left="0" w:right="0" w:firstLine="850"/>
        <w:rPr>
          <w:color w:val="00000A"/>
          <w:sz w:val="20"/>
          <w:szCs w:val="20"/>
        </w:rPr>
      </w:pPr>
      <w:r>
        <w:rPr>
          <w:color w:val="00000A"/>
          <w:sz w:val="20"/>
          <w:szCs w:val="20"/>
        </w:rPr>
        <w:t xml:space="preserve">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1"/>
        </w:numPr>
        <w:tabs>
          <w:tab w:val="clear" w:pos="708"/>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 </w:t>
      </w:r>
    </w:p>
    <w:p>
      <w:pPr>
        <w:pStyle w:val="Normal"/>
        <w:widowControl/>
        <w:numPr>
          <w:ilvl w:val="0"/>
          <w:numId w:val="11"/>
        </w:numPr>
        <w:tabs>
          <w:tab w:val="clear" w:pos="708"/>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tabs>
          <w:tab w:val="clear" w:pos="708"/>
          <w:tab w:val="left" w:pos="1410" w:leader="none"/>
        </w:tabs>
        <w:spacing w:before="0" w:after="0"/>
        <w:ind w:left="0" w:right="0" w:firstLine="850"/>
        <w:contextualSpacing/>
        <w:jc w:val="both"/>
        <w:rPr/>
      </w:pPr>
      <w:r>
        <w:rPr>
          <w:bCs/>
          <w:color w:val="00000A"/>
          <w:sz w:val="20"/>
          <w:szCs w:val="20"/>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tabs>
          <w:tab w:val="clear" w:pos="708"/>
          <w:tab w:val="left" w:pos="1410" w:leader="none"/>
        </w:tabs>
        <w:spacing w:before="0" w:after="0"/>
        <w:ind w:left="0" w:right="0" w:firstLine="850"/>
        <w:contextualSpacing/>
        <w:jc w:val="both"/>
        <w:rPr/>
      </w:pPr>
      <w:r>
        <w:rPr>
          <w:bCs/>
          <w:color w:val="00000A"/>
          <w:sz w:val="20"/>
          <w:szCs w:val="20"/>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tabs>
          <w:tab w:val="clear" w:pos="708"/>
          <w:tab w:val="left" w:pos="1410" w:leader="none"/>
        </w:tabs>
        <w:spacing w:before="0" w:after="0"/>
        <w:ind w:left="0" w:right="0" w:firstLine="850"/>
        <w:contextualSpacing/>
        <w:jc w:val="both"/>
        <w:rPr/>
      </w:pPr>
      <w:r>
        <w:rPr>
          <w:color w:val="00000A"/>
          <w:sz w:val="20"/>
          <w:szCs w:val="20"/>
        </w:rP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оборудования. Уплата (удержание) неустойки не освобождает стороны от исполнения своего обязательства в натуре</w:t>
      </w:r>
      <w:r>
        <w:rPr>
          <w:bCs/>
          <w:color w:val="00000A"/>
          <w:sz w:val="20"/>
          <w:szCs w:val="20"/>
        </w:rPr>
        <w:t>.</w:t>
      </w:r>
    </w:p>
    <w:p>
      <w:pPr>
        <w:pStyle w:val="ListParagraph"/>
        <w:widowControl/>
        <w:tabs>
          <w:tab w:val="clear" w:pos="708"/>
          <w:tab w:val="left" w:pos="1410" w:leader="none"/>
        </w:tabs>
        <w:spacing w:before="0" w:after="0"/>
        <w:ind w:left="0" w:right="0" w:firstLine="850"/>
        <w:contextualSpacing/>
        <w:jc w:val="both"/>
        <w:rPr>
          <w:rFonts w:ascii="Times New Roman" w:hAnsi="Times New Roman"/>
          <w:sz w:val="20"/>
          <w:szCs w:val="20"/>
        </w:rPr>
      </w:pPr>
      <w:r>
        <w:rPr>
          <w:sz w:val="20"/>
          <w:szCs w:val="20"/>
        </w:rPr>
      </w:r>
    </w:p>
    <w:p>
      <w:pPr>
        <w:pStyle w:val="ListParagraph"/>
        <w:widowControl/>
        <w:numPr>
          <w:ilvl w:val="0"/>
          <w:numId w:val="2"/>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Конфиденциальность</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данная Информация имеет действительную или потенциальную коммерческую ценность для Покупателя в силу неизвестности ее третьим лица</w:t>
      </w:r>
      <w:r>
        <w:rPr>
          <w:color w:val="00000A"/>
          <w:sz w:val="20"/>
          <w:szCs w:val="20"/>
        </w:rPr>
        <w:t xml:space="preserve">м, в том числе по причине </w:t>
      </w:r>
      <w:r>
        <w:rPr>
          <w:bCs/>
          <w:color w:val="00000A"/>
          <w:sz w:val="20"/>
          <w:szCs w:val="20"/>
        </w:rPr>
        <w:t>введения в отношении нее режима Коммерческой тайны;</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включать в себя, в том числе, но не ограничиваясь:</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 xml:space="preserve">финансовую </w:t>
      </w:r>
      <w:r>
        <w:rPr>
          <w:bCs/>
          <w:color w:val="00000A"/>
          <w:sz w:val="20"/>
          <w:szCs w:val="20"/>
          <w:lang w:val="en-US"/>
        </w:rPr>
        <w:t>(</w:t>
      </w:r>
      <w:r>
        <w:rPr>
          <w:bCs/>
          <w:color w:val="00000A"/>
          <w:sz w:val="20"/>
          <w:szCs w:val="20"/>
        </w:rPr>
        <w:t>бухгалтерскую) отчетность;</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учетные регистры бухгалтерского учета;</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бизнес-планы;</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об объемах производства и/или реализации продукции и услуг Покупателя или его ффилированных лиц;</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tabs>
          <w:tab w:val="clear" w:pos="708"/>
          <w:tab w:val="left" w:pos="1410" w:leader="none"/>
        </w:tabs>
        <w:spacing w:before="0" w:after="0"/>
        <w:ind w:left="0" w:right="0" w:firstLine="850"/>
        <w:contextualSpacing/>
        <w:jc w:val="both"/>
        <w:rPr/>
      </w:pPr>
      <w:bookmarkStart w:id="6" w:name="_Ref361337849"/>
      <w:r>
        <w:rPr>
          <w:bCs/>
          <w:color w:val="00000A"/>
          <w:sz w:val="20"/>
          <w:szCs w:val="20"/>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color w:val="00000A"/>
          <w:sz w:val="20"/>
          <w:szCs w:val="20"/>
        </w:rPr>
        <w:t xml:space="preserve"> </w:t>
      </w:r>
      <w:r>
        <w:rPr>
          <w:bCs/>
          <w:color w:val="00000A"/>
          <w:sz w:val="20"/>
          <w:szCs w:val="20"/>
        </w:rPr>
        <w:t>(расторжения) или исполнения, в том числе:</w:t>
      </w:r>
      <w:bookmarkEnd w:id="6"/>
      <w:r>
        <w:rPr>
          <w:bCs/>
          <w:color w:val="00000A"/>
          <w:sz w:val="20"/>
          <w:szCs w:val="20"/>
        </w:rPr>
        <w:t xml:space="preserve"> </w:t>
      </w:r>
    </w:p>
    <w:p>
      <w:pPr>
        <w:pStyle w:val="ListParagraph"/>
        <w:widowControl/>
        <w:numPr>
          <w:ilvl w:val="2"/>
          <w:numId w:val="2"/>
        </w:numPr>
        <w:tabs>
          <w:tab w:val="clear" w:pos="708"/>
          <w:tab w:val="left" w:pos="1410" w:leader="none"/>
        </w:tabs>
        <w:spacing w:before="0" w:after="0"/>
        <w:ind w:left="0" w:right="0" w:firstLine="850"/>
        <w:contextualSpacing/>
        <w:jc w:val="both"/>
        <w:rPr/>
      </w:pPr>
      <w:r>
        <w:rPr>
          <w:bCs/>
          <w:color w:val="00000A"/>
          <w:sz w:val="20"/>
          <w:szCs w:val="20"/>
        </w:rPr>
        <w:t xml:space="preserve">Не разглашать, не обсуждать содержание, не предоставлять копий, не публиковать и не </w:t>
      </w:r>
      <w:r>
        <w:rPr>
          <w:color w:val="00000A"/>
          <w:sz w:val="20"/>
          <w:szCs w:val="20"/>
        </w:rPr>
        <w:t>раскрывать</w:t>
      </w:r>
      <w:r>
        <w:rPr>
          <w:bCs/>
          <w:color w:val="00000A"/>
          <w:sz w:val="20"/>
          <w:szCs w:val="20"/>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Использовать Информацию исключительно для целей, для которых она была предоставлена. </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tabs>
          <w:tab w:val="clear" w:pos="708"/>
          <w:tab w:val="left" w:pos="1410" w:leader="none"/>
        </w:tabs>
        <w:spacing w:before="0" w:after="0"/>
        <w:ind w:left="0" w:right="0" w:firstLine="850"/>
        <w:contextualSpacing/>
        <w:jc w:val="both"/>
        <w:rPr/>
      </w:pPr>
      <w:bookmarkStart w:id="7" w:name="_Ref361337832"/>
      <w:bookmarkEnd w:id="7"/>
      <w:r>
        <w:rPr>
          <w:bCs/>
          <w:color w:val="00000A"/>
          <w:sz w:val="20"/>
          <w:szCs w:val="20"/>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Не разглашать третьим лицам факты передачи или получения Информации.</w:t>
      </w:r>
    </w:p>
    <w:p>
      <w:pPr>
        <w:pStyle w:val="ListParagraph"/>
        <w:widowControl/>
        <w:numPr>
          <w:ilvl w:val="1"/>
          <w:numId w:val="2"/>
        </w:numPr>
        <w:tabs>
          <w:tab w:val="clear" w:pos="708"/>
          <w:tab w:val="left" w:pos="1410" w:leader="none"/>
        </w:tabs>
        <w:spacing w:before="0" w:after="0"/>
        <w:ind w:left="0" w:right="0" w:firstLine="850"/>
        <w:contextualSpacing/>
        <w:jc w:val="both"/>
        <w:rPr/>
      </w:pPr>
      <w:bookmarkStart w:id="8" w:name="_Ref361337863"/>
      <w:bookmarkEnd w:id="8"/>
      <w:r>
        <w:rPr>
          <w:bCs/>
          <w:color w:val="00000A"/>
          <w:sz w:val="20"/>
          <w:szCs w:val="20"/>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p>
    <w:p>
      <w:pPr>
        <w:pStyle w:val="Normal"/>
        <w:numPr>
          <w:ilvl w:val="1"/>
          <w:numId w:val="2"/>
        </w:numPr>
        <w:tabs>
          <w:tab w:val="clear" w:pos="708"/>
          <w:tab w:val="left" w:pos="1410" w:leader="none"/>
        </w:tabs>
        <w:spacing w:before="0" w:after="0"/>
        <w:ind w:left="0" w:right="0" w:firstLine="850"/>
        <w:jc w:val="both"/>
        <w:rPr>
          <w:bCs/>
          <w:color w:val="00000A"/>
          <w:sz w:val="20"/>
          <w:szCs w:val="20"/>
        </w:rPr>
      </w:pPr>
      <w:r>
        <w:rPr>
          <w:bCs/>
          <w:color w:val="00000A"/>
          <w:sz w:val="20"/>
          <w:szCs w:val="20"/>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tabs>
          <w:tab w:val="clear" w:pos="708"/>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Антикоррупционная оговорка</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w:t>
      </w:r>
      <w:r>
        <w:rPr>
          <w:bCs/>
          <w:color w:val="00000A"/>
          <w:sz w:val="20"/>
          <w:szCs w:val="2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правом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Каналы связи Линия доверия Группы РусГидро: </w:t>
      </w:r>
    </w:p>
    <w:p>
      <w:pPr>
        <w:pStyle w:val="ListParagraph"/>
        <w:numPr>
          <w:ilvl w:val="2"/>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Электронная почта: ld@rushydro.ru.</w:t>
      </w:r>
    </w:p>
    <w:p>
      <w:pPr>
        <w:pStyle w:val="ListParagraph"/>
        <w:numPr>
          <w:ilvl w:val="2"/>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0"/>
        </w:numPr>
        <w:tabs>
          <w:tab w:val="clear" w:pos="708"/>
          <w:tab w:val="left" w:pos="1410" w:leader="none"/>
        </w:tabs>
        <w:spacing w:lineRule="auto" w:line="259" w:before="0" w:after="0"/>
        <w:ind w:left="0" w:right="0" w:firstLine="850"/>
        <w:contextualSpacing/>
        <w:jc w:val="both"/>
        <w:rPr/>
      </w:pPr>
      <w:r>
        <w:rPr>
          <w:color w:val="00000A"/>
          <w:sz w:val="20"/>
          <w:szCs w:val="20"/>
        </w:rPr>
        <w:t>Телефонный автоответчик (необходимо позвонить по телефону +7(495)785-09-37 (круглосуточно), дождаться сигнала о начале записи и оставить устное обращение).</w:t>
      </w:r>
    </w:p>
    <w:p>
      <w:pPr>
        <w:pStyle w:val="ListParagraph"/>
        <w:widowControl/>
        <w:tabs>
          <w:tab w:val="clear" w:pos="708"/>
          <w:tab w:val="left" w:pos="1410" w:leader="none"/>
        </w:tabs>
        <w:spacing w:lineRule="auto" w:line="259"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Обстоятельства непреодолимой силы (форс-мажор)</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этом любая из Сторон вправе отказаться от исполнения Договора в одностороннем внесудебном порядке.</w:t>
      </w:r>
    </w:p>
    <w:p>
      <w:pPr>
        <w:pStyle w:val="ListParagraph"/>
        <w:tabs>
          <w:tab w:val="clear" w:pos="708"/>
          <w:tab w:val="left" w:pos="0" w:leader="none"/>
          <w:tab w:val="left" w:pos="568" w:leader="none"/>
          <w:tab w:val="left" w:pos="1418" w:leader="none"/>
        </w:tabs>
        <w:spacing w:before="0" w:after="0"/>
        <w:ind w:left="0" w:right="0" w:firstLine="850"/>
        <w:contextualSpacing/>
        <w:jc w:val="both"/>
        <w:rPr>
          <w:rFonts w:ascii="Times New Roman" w:hAnsi="Times New Roman"/>
          <w:bCs/>
          <w:color w:val="00000A"/>
          <w:sz w:val="20"/>
          <w:szCs w:val="20"/>
        </w:rPr>
      </w:pPr>
      <w:r>
        <w:rPr>
          <w:bCs/>
          <w:color w:val="00000A"/>
          <w:sz w:val="20"/>
          <w:szCs w:val="20"/>
        </w:rPr>
      </w:r>
    </w:p>
    <w:p>
      <w:pPr>
        <w:pStyle w:val="Normal"/>
        <w:widowControl/>
        <w:numPr>
          <w:ilvl w:val="0"/>
          <w:numId w:val="10"/>
        </w:numPr>
        <w:spacing w:before="0" w:after="0"/>
        <w:ind w:left="0" w:right="0" w:firstLine="850"/>
        <w:jc w:val="center"/>
        <w:rPr>
          <w:b/>
          <w:bCs/>
          <w:color w:val="00000A"/>
          <w:sz w:val="20"/>
          <w:szCs w:val="20"/>
        </w:rPr>
      </w:pPr>
      <w:r>
        <w:rPr>
          <w:b/>
          <w:bCs/>
          <w:color w:val="00000A"/>
          <w:sz w:val="20"/>
          <w:szCs w:val="20"/>
        </w:rPr>
        <w:t>Особые положения</w:t>
      </w:r>
    </w:p>
    <w:p>
      <w:pPr>
        <w:pStyle w:val="Normal"/>
        <w:widowControl/>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color w:val="00000A"/>
            <w:sz w:val="20"/>
            <w:szCs w:val="20"/>
          </w:rPr>
          <w:t>№ 18162/09</w:t>
        </w:r>
      </w:hyperlink>
      <w:r>
        <w:rPr>
          <w:bCs/>
          <w:color w:val="00000A"/>
          <w:sz w:val="20"/>
          <w:szCs w:val="20"/>
        </w:rPr>
        <w:t xml:space="preserve"> и от 25.05.2010 </w:t>
      </w:r>
      <w:hyperlink r:id="rId3">
        <w:r>
          <w:rPr>
            <w:rStyle w:val="Hyperlink"/>
            <w:bCs/>
            <w:color w:val="00000A"/>
            <w:sz w:val="20"/>
            <w:szCs w:val="20"/>
          </w:rPr>
          <w:t>№ 15658/09</w:t>
        </w:r>
      </w:hyperlink>
      <w:r>
        <w:rPr>
          <w:bCs/>
          <w:color w:val="00000A"/>
          <w:sz w:val="20"/>
          <w:szCs w:val="20"/>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bCs/>
            <w:color w:val="00000A"/>
            <w:sz w:val="20"/>
            <w:szCs w:val="20"/>
          </w:rPr>
          <w:t>Критери</w:t>
        </w:r>
      </w:hyperlink>
      <w:r>
        <w:rPr>
          <w:bCs/>
          <w:color w:val="00000A"/>
          <w:sz w:val="20"/>
          <w:szCs w:val="20"/>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9.1 Договора, а также обеспечить прекращение участия таких организаций в исполнении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нарушения Поставщиком обязательств, установленных пунктами 9.1, 9.2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Штраф, предусмотренный пунктом 9.4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9.3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При этом Покупатель не будет считаться просрочившим и/или нарушившим свои обязательства по Договору.</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ListParagraph"/>
        <w:widowControl/>
        <w:tabs>
          <w:tab w:val="clear" w:pos="708"/>
          <w:tab w:val="left" w:pos="1410" w:leader="none"/>
        </w:tabs>
        <w:spacing w:before="0" w:after="0"/>
        <w:ind w:left="0" w:right="0" w:firstLine="850"/>
        <w:contextualSpacing/>
        <w:jc w:val="both"/>
        <w:rPr>
          <w:rFonts w:ascii="Times New Roman" w:hAnsi="Times New Roman"/>
          <w:bCs/>
          <w:color w:val="00000A"/>
          <w:sz w:val="20"/>
          <w:szCs w:val="20"/>
        </w:rPr>
      </w:pPr>
      <w:r>
        <w:rPr>
          <w:bCs/>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pPr>
      <w:r>
        <w:rPr>
          <w:b/>
          <w:bCs/>
          <w:color w:val="00000A"/>
          <w:sz w:val="20"/>
          <w:szCs w:val="20"/>
        </w:rPr>
        <w:t>Заверения</w:t>
      </w:r>
      <w:r>
        <w:rPr>
          <w:b/>
          <w:color w:val="00000A"/>
          <w:sz w:val="20"/>
          <w:szCs w:val="20"/>
        </w:rPr>
        <w:t xml:space="preserve"> Сторон</w:t>
      </w:r>
    </w:p>
    <w:p>
      <w:pPr>
        <w:pStyle w:val="ListParagraph"/>
        <w:widowControl/>
        <w:tabs>
          <w:tab w:val="clear" w:pos="708"/>
          <w:tab w:val="left" w:pos="1410" w:leader="none"/>
        </w:tabs>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Каждая</w:t>
      </w:r>
      <w:r>
        <w:rPr>
          <w:color w:val="00000A"/>
          <w:sz w:val="20"/>
          <w:szCs w:val="20"/>
        </w:rPr>
        <w:t xml:space="preserve"> из Сторон заявляет и подтверждает другой Стороне, что: </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лица, подписывающие от имени Сторон Договор, надлежащим образом уполномочены на его подписание;</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заявляет и заверяет Покупателя в том, что на момент заключения Договора:</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руководителем Поставщика является лицо, не являющееся массовым руководителем;</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10"/>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 xml:space="preserve">В случае, если </w:t>
      </w:r>
      <w:r>
        <w:rPr>
          <w:bCs/>
          <w:color w:val="00000A"/>
          <w:sz w:val="20"/>
          <w:szCs w:val="20"/>
        </w:rPr>
        <w:t xml:space="preserve">Поставщик </w:t>
      </w:r>
      <w:r>
        <w:rPr>
          <w:color w:val="00000A"/>
          <w:sz w:val="20"/>
          <w:szCs w:val="20"/>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color w:val="00000A"/>
          <w:sz w:val="20"/>
          <w:szCs w:val="20"/>
        </w:rPr>
        <w:t xml:space="preserve">Поставщик </w:t>
      </w:r>
      <w:r>
        <w:rPr>
          <w:color w:val="00000A"/>
          <w:sz w:val="20"/>
          <w:szCs w:val="20"/>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tabs>
          <w:tab w:val="clear" w:pos="708"/>
          <w:tab w:val="left" w:pos="1134" w:leader="none"/>
          <w:tab w:val="left" w:pos="1418" w:leader="none"/>
        </w:tabs>
        <w:spacing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spacing w:before="0" w:after="0"/>
        <w:ind w:left="0" w:right="0" w:firstLine="850"/>
        <w:contextualSpacing/>
        <w:jc w:val="center"/>
        <w:rPr/>
      </w:pPr>
      <w:r>
        <w:rPr>
          <w:b/>
          <w:bCs/>
          <w:color w:val="00000A"/>
          <w:sz w:val="20"/>
          <w:szCs w:val="20"/>
        </w:rPr>
        <w:t>П</w:t>
      </w:r>
      <w:r>
        <w:rPr>
          <w:b/>
          <w:color w:val="00000A"/>
          <w:sz w:val="20"/>
          <w:szCs w:val="20"/>
        </w:rPr>
        <w:t>рекращение (расторжение) Договора</w:t>
      </w:r>
    </w:p>
    <w:p>
      <w:pPr>
        <w:pStyle w:val="ListParagraph"/>
        <w:widowControl/>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color w:val="00000A"/>
          <w:spacing w:val="2"/>
          <w:sz w:val="20"/>
          <w:szCs w:val="20"/>
        </w:rPr>
        <w:t>–</w:t>
      </w:r>
      <w:r>
        <w:rPr>
          <w:color w:val="00000A"/>
          <w:sz w:val="20"/>
          <w:szCs w:val="20"/>
        </w:rPr>
        <w:t>получателем в течение 30 (тридцати) календарных дней со дня его получения.</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Стороны установили, что существенным нарушением Договора Поставщиком является: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widowControl/>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 </w:t>
      </w:r>
      <w:r>
        <w:rPr>
          <w:color w:val="00000A"/>
          <w:sz w:val="20"/>
          <w:szCs w:val="20"/>
        </w:rPr>
        <w:t>случае отказа Покупателя от Договора в случаях, предусмотренных пунктами 11.2,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С даты прекращения (расторжения) Договора Поставщик обязан прекратить поставку Товара.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tabs>
          <w:tab w:val="clear" w:pos="708"/>
          <w:tab w:val="left" w:pos="1410" w:leader="none"/>
        </w:tabs>
        <w:spacing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Разрешение споров</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Споры, указанные в пункте 12.1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Условия настоящего раздела сохраняют свою силу в случае признания Договора незаключенным и/или недействительным.</w:t>
      </w:r>
    </w:p>
    <w:p>
      <w:pPr>
        <w:pStyle w:val="ListParagraph"/>
        <w:widowControl/>
        <w:tabs>
          <w:tab w:val="clear" w:pos="708"/>
          <w:tab w:val="left" w:pos="1410" w:leader="none"/>
        </w:tabs>
        <w:spacing w:before="0" w:after="0"/>
        <w:ind w:left="0" w:right="0" w:firstLine="850"/>
        <w:contextualSpacing/>
        <w:jc w:val="both"/>
        <w:rPr/>
      </w:pPr>
      <w:r>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Заключительные положения</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0"/>
        </w:numPr>
        <w:tabs>
          <w:tab w:val="clear" w:pos="708"/>
          <w:tab w:val="left" w:pos="1410" w:leader="none"/>
        </w:tabs>
        <w:spacing w:before="0" w:after="0"/>
        <w:ind w:left="0" w:right="0" w:firstLine="850"/>
        <w:contextualSpacing/>
        <w:jc w:val="both"/>
        <w:rPr/>
      </w:pPr>
      <w:bookmarkStart w:id="9" w:name="_Ref361338004"/>
      <w:r>
        <w:rPr>
          <w:color w:val="00000A"/>
          <w:sz w:val="20"/>
          <w:szCs w:val="20"/>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9"/>
      <w:r>
        <w:rPr>
          <w:color w:val="00000A"/>
          <w:sz w:val="20"/>
          <w:szCs w:val="20"/>
        </w:rPr>
        <w:t xml:space="preserve"> </w:t>
      </w:r>
    </w:p>
    <w:p>
      <w:pPr>
        <w:pStyle w:val="ListParagraph"/>
        <w:widowControl/>
        <w:numPr>
          <w:ilvl w:val="1"/>
          <w:numId w:val="10"/>
        </w:numPr>
        <w:tabs>
          <w:tab w:val="clear" w:pos="708"/>
          <w:tab w:val="left" w:pos="1410" w:leader="none"/>
        </w:tabs>
        <w:spacing w:before="0" w:after="0"/>
        <w:ind w:left="0" w:right="0" w:firstLine="850"/>
        <w:contextualSpacing/>
        <w:jc w:val="both"/>
        <w:rPr/>
      </w:pPr>
      <w:bookmarkStart w:id="10" w:name="_Ref361338019"/>
      <w:bookmarkEnd w:id="10"/>
      <w:r>
        <w:rPr>
          <w:color w:val="00000A"/>
          <w:sz w:val="20"/>
          <w:szCs w:val="20"/>
        </w:rPr>
        <w:t>Письма, уведомления и/или сообщения направляются Стороне</w:t>
      </w:r>
      <w:r>
        <w:rPr>
          <w:bCs/>
          <w:color w:val="00000A"/>
          <w:sz w:val="20"/>
          <w:szCs w:val="20"/>
        </w:rPr>
        <w:t>-</w:t>
      </w:r>
      <w:r>
        <w:rPr>
          <w:color w:val="00000A"/>
          <w:sz w:val="20"/>
          <w:szCs w:val="20"/>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color w:val="00000A"/>
          <w:sz w:val="20"/>
          <w:szCs w:val="20"/>
        </w:rPr>
        <w:t xml:space="preserve"> будет считаться полученным</w:t>
      </w:r>
      <w:r>
        <w:rPr>
          <w:color w:val="00000A"/>
          <w:sz w:val="20"/>
          <w:szCs w:val="20"/>
        </w:rPr>
        <w:t xml:space="preserve">: </w:t>
      </w:r>
    </w:p>
    <w:p>
      <w:pPr>
        <w:pStyle w:val="ListParagraph"/>
        <w:numPr>
          <w:ilvl w:val="2"/>
          <w:numId w:val="10"/>
        </w:numPr>
        <w:tabs>
          <w:tab w:val="clear" w:pos="708"/>
          <w:tab w:val="left" w:pos="1410" w:leader="none"/>
        </w:tabs>
        <w:spacing w:before="0" w:after="0"/>
        <w:ind w:left="0" w:right="0" w:firstLine="850"/>
        <w:contextualSpacing/>
        <w:jc w:val="both"/>
        <w:rPr/>
      </w:pPr>
      <w:r>
        <w:rPr>
          <w:bCs/>
          <w:color w:val="00000A"/>
          <w:sz w:val="20"/>
          <w:szCs w:val="20"/>
        </w:rPr>
        <w:t xml:space="preserve">Заказным почтовым отправлением с уведомлением о вручении </w:t>
      </w:r>
      <w:r>
        <w:rPr>
          <w:color w:val="00000A"/>
          <w:sz w:val="20"/>
          <w:szCs w:val="20"/>
        </w:rPr>
        <w:t xml:space="preserve">по адресу ее места нахождения / почтовому адресу, указанному в разделе 15 Договора, или в ранее полученном уведомлении Стороны об изменении адреса </w:t>
      </w:r>
      <w:r>
        <w:rPr>
          <w:bCs/>
          <w:color w:val="00000A"/>
          <w:sz w:val="20"/>
          <w:szCs w:val="20"/>
        </w:rPr>
        <w:t xml:space="preserve">– </w:t>
      </w:r>
      <w:r>
        <w:rPr>
          <w:color w:val="00000A"/>
          <w:sz w:val="20"/>
          <w:szCs w:val="20"/>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0"/>
        </w:numPr>
        <w:tabs>
          <w:tab w:val="clear" w:pos="708"/>
          <w:tab w:val="left" w:pos="1410" w:leader="none"/>
        </w:tabs>
        <w:spacing w:before="0" w:after="0"/>
        <w:ind w:left="0" w:right="0" w:firstLine="850"/>
        <w:contextualSpacing/>
        <w:jc w:val="both"/>
        <w:rPr/>
      </w:pPr>
      <w:r>
        <w:rPr>
          <w:color w:val="00000A"/>
          <w:sz w:val="20"/>
          <w:szCs w:val="20"/>
        </w:rPr>
        <w:t>Д</w:t>
      </w:r>
      <w:r>
        <w:rPr>
          <w:bCs/>
          <w:color w:val="00000A"/>
          <w:sz w:val="20"/>
          <w:szCs w:val="20"/>
        </w:rPr>
        <w:t xml:space="preserve">оставкой лично или курьером Стороны-отправителя </w:t>
      </w:r>
      <w:r>
        <w:rPr>
          <w:color w:val="00000A"/>
          <w:sz w:val="20"/>
          <w:szCs w:val="20"/>
        </w:rPr>
        <w:t>по адресу ее места нахождения / почтовому адресу, указанному в разделе 15 Договора, или в ранее полученном уведомлении Стороны об изменении адреса</w:t>
      </w:r>
      <w:r>
        <w:rPr>
          <w:bCs/>
          <w:color w:val="00000A"/>
          <w:sz w:val="20"/>
          <w:szCs w:val="20"/>
        </w:rPr>
        <w:t xml:space="preserve"> – в дату и время фактического приема уведомления Стороной-получателем с отметкой о получении</w:t>
      </w:r>
      <w:r>
        <w:rPr>
          <w:color w:val="00000A"/>
          <w:sz w:val="20"/>
          <w:szCs w:val="20"/>
        </w:rPr>
        <w:t xml:space="preserve">. </w:t>
      </w:r>
    </w:p>
    <w:p>
      <w:pPr>
        <w:pStyle w:val="ListParagraph"/>
        <w:numPr>
          <w:ilvl w:val="2"/>
          <w:numId w:val="10"/>
        </w:numPr>
        <w:tabs>
          <w:tab w:val="clear" w:pos="708"/>
          <w:tab w:val="left" w:pos="1410" w:leader="none"/>
        </w:tabs>
        <w:spacing w:before="0" w:after="0"/>
        <w:ind w:left="0" w:right="0" w:firstLine="850"/>
        <w:contextualSpacing/>
        <w:jc w:val="both"/>
        <w:rPr/>
      </w:pPr>
      <w:r>
        <w:rPr>
          <w:color w:val="00000A"/>
          <w:sz w:val="20"/>
          <w:szCs w:val="20"/>
        </w:rPr>
        <w:t>П</w:t>
      </w:r>
      <w:r>
        <w:rPr>
          <w:bCs/>
          <w:color w:val="00000A"/>
          <w:sz w:val="20"/>
          <w:szCs w:val="20"/>
        </w:rPr>
        <w:t>осредством электронной почты (</w:t>
      </w:r>
      <w:r>
        <w:rPr>
          <w:bCs/>
          <w:color w:val="00000A"/>
          <w:sz w:val="20"/>
          <w:szCs w:val="20"/>
          <w:lang w:val="en-US"/>
        </w:rPr>
        <w:t>e</w:t>
      </w:r>
      <w:r>
        <w:rPr>
          <w:bCs/>
          <w:color w:val="00000A"/>
          <w:sz w:val="20"/>
          <w:szCs w:val="20"/>
        </w:rPr>
        <w:t>-</w:t>
      </w:r>
      <w:r>
        <w:rPr>
          <w:bCs/>
          <w:color w:val="00000A"/>
          <w:sz w:val="20"/>
          <w:szCs w:val="20"/>
          <w:lang w:val="en-US"/>
        </w:rPr>
        <w:t>mail</w:t>
      </w:r>
      <w:r>
        <w:rPr>
          <w:bCs/>
          <w:color w:val="00000A"/>
          <w:sz w:val="20"/>
          <w:szCs w:val="20"/>
        </w:rPr>
        <w:t>) – в дату направления электронного сообщения, зафиксированную на почтовом сервере отправителя.</w:t>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w:t>
      </w:r>
    </w:p>
    <w:p>
      <w:pPr>
        <w:pStyle w:val="ListParagraph"/>
        <w:tabs>
          <w:tab w:val="clear" w:pos="708"/>
          <w:tab w:val="left" w:pos="1410" w:leader="none"/>
        </w:tabs>
        <w:spacing w:before="0" w:after="0"/>
        <w:ind w:left="0" w:right="0" w:firstLine="850"/>
        <w:contextualSpacing/>
        <w:jc w:val="both"/>
        <w:rPr/>
      </w:pPr>
      <w:r>
        <w:rPr>
          <w:bCs/>
          <w:color w:val="00000A"/>
          <w:sz w:val="20"/>
          <w:szCs w:val="20"/>
        </w:rPr>
        <w:t xml:space="preserve">В случае заключения Соглашения, согласно которому </w:t>
      </w:r>
      <w:r>
        <w:rPr>
          <w:color w:val="00000A"/>
          <w:sz w:val="20"/>
          <w:szCs w:val="20"/>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A"/>
          <w:sz w:val="20"/>
          <w:szCs w:val="2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Уступка (передача), в том числе в залог, прав (требований) к Покупателю</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color w:val="00000A"/>
          <w:sz w:val="20"/>
          <w:szCs w:val="20"/>
        </w:rPr>
        <w:t>.</w:t>
      </w:r>
      <w:r>
        <w:rPr>
          <w:color w:val="00000A"/>
          <w:sz w:val="20"/>
          <w:szCs w:val="20"/>
        </w:rPr>
        <w:t xml:space="preserve">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Договор составлен в 2 (двух) оригинальных экземплярах, имеющих равную юридическую силу, по 1 (одному) для каждой из Сторон.</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Со стороны Покупателя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(Хабаровские электрические сети, расположенный по адресу: 680009, Российская Федерация, Хабаровский край, г. Хабаровск, ул. Промышленная,13) ИНН 2801108200; КПП 272402001,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tabs>
          <w:tab w:val="clear" w:pos="708"/>
          <w:tab w:val="left" w:pos="1410" w:leader="none"/>
        </w:tabs>
        <w:spacing w:before="0" w:after="0"/>
        <w:ind w:left="0" w:right="0" w:firstLine="850"/>
        <w:jc w:val="both"/>
        <w:rPr>
          <w:rFonts w:ascii="Times New Roman" w:hAnsi="Times New Roman"/>
          <w:bCs/>
          <w:iCs/>
          <w:color w:val="00000A"/>
          <w:sz w:val="20"/>
          <w:szCs w:val="20"/>
        </w:rPr>
      </w:pPr>
      <w:r>
        <w:rPr>
          <w:bCs/>
          <w:iCs/>
          <w:color w:val="00000A"/>
          <w:sz w:val="20"/>
          <w:szCs w:val="20"/>
        </w:rPr>
      </w:r>
    </w:p>
    <w:p>
      <w:pPr>
        <w:pStyle w:val="Normal"/>
        <w:widowControl/>
        <w:numPr>
          <w:ilvl w:val="0"/>
          <w:numId w:val="10"/>
        </w:numPr>
        <w:tabs>
          <w:tab w:val="clear" w:pos="708"/>
          <w:tab w:val="left" w:pos="1410" w:leader="none"/>
        </w:tabs>
        <w:spacing w:before="0" w:after="0"/>
        <w:ind w:left="0" w:right="0" w:firstLine="850"/>
        <w:jc w:val="center"/>
        <w:rPr>
          <w:b/>
          <w:bCs/>
          <w:color w:val="00000A"/>
          <w:sz w:val="20"/>
          <w:szCs w:val="20"/>
        </w:rPr>
      </w:pPr>
      <w:r>
        <w:rPr>
          <w:b/>
          <w:bCs/>
          <w:color w:val="00000A"/>
          <w:sz w:val="20"/>
          <w:szCs w:val="20"/>
        </w:rPr>
        <w:t xml:space="preserve">Список приложений </w:t>
      </w:r>
    </w:p>
    <w:p>
      <w:pPr>
        <w:pStyle w:val="Normal"/>
        <w:widowControl/>
        <w:tabs>
          <w:tab w:val="clear" w:pos="708"/>
          <w:tab w:val="left" w:pos="1410" w:leader="none"/>
        </w:tabs>
        <w:suppressAutoHyphens w:val="true"/>
        <w:spacing w:before="0" w:after="0"/>
        <w:ind w:left="0" w:right="0" w:firstLine="850"/>
        <w:jc w:val="both"/>
        <w:rPr>
          <w:rFonts w:eastAsia="Calibri"/>
          <w:color w:val="00000A"/>
          <w:sz w:val="20"/>
          <w:szCs w:val="20"/>
          <w:lang w:eastAsia="en-US"/>
        </w:rPr>
      </w:pPr>
      <w:bookmarkStart w:id="11" w:name="sub_1"/>
      <w:bookmarkEnd w:id="11"/>
      <w:r>
        <w:rPr>
          <w:rFonts w:eastAsia="Calibri"/>
          <w:color w:val="00000A"/>
          <w:sz w:val="20"/>
          <w:szCs w:val="20"/>
          <w:lang w:eastAsia="en-US"/>
        </w:rPr>
        <w:t>Приложение № 1 – Спецификация</w:t>
      </w:r>
    </w:p>
    <w:p>
      <w:pPr>
        <w:pStyle w:val="Normal"/>
        <w:tabs>
          <w:tab w:val="clear" w:pos="708"/>
          <w:tab w:val="left" w:pos="1410" w:leader="none"/>
        </w:tabs>
        <w:spacing w:before="0" w:after="0"/>
        <w:ind w:left="0" w:right="0" w:firstLine="850"/>
        <w:jc w:val="both"/>
        <w:rPr/>
      </w:pPr>
      <w:r>
        <w:rPr>
          <w:bCs/>
          <w:color w:val="00000A"/>
          <w:sz w:val="20"/>
          <w:szCs w:val="20"/>
        </w:rPr>
        <w:t xml:space="preserve">Приложение №2 </w:t>
      </w:r>
      <w:r>
        <w:rPr>
          <w:rFonts w:eastAsia="Calibri"/>
          <w:color w:val="00000A"/>
          <w:sz w:val="20"/>
          <w:szCs w:val="20"/>
          <w:lang w:eastAsia="en-US"/>
        </w:rPr>
        <w:t>–</w:t>
      </w:r>
      <w:r>
        <w:rPr>
          <w:bCs/>
          <w:color w:val="00000A"/>
          <w:sz w:val="20"/>
          <w:szCs w:val="20"/>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tabs>
          <w:tab w:val="clear" w:pos="708"/>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t>Приложение № 3 – Уведомление (форма).</w:t>
      </w:r>
    </w:p>
    <w:p>
      <w:pPr>
        <w:pStyle w:val="ListParagraph"/>
        <w:widowControl/>
        <w:numPr>
          <w:ilvl w:val="0"/>
          <w:numId w:val="10"/>
        </w:numPr>
        <w:ind w:left="0" w:right="0" w:hanging="0"/>
        <w:jc w:val="center"/>
        <w:rPr>
          <w:b/>
          <w:bCs/>
          <w:color w:val="00000A"/>
          <w:sz w:val="20"/>
          <w:szCs w:val="20"/>
        </w:rPr>
      </w:pPr>
      <w:r>
        <w:rPr>
          <w:b/>
          <w:bCs/>
          <w:color w:val="00000A"/>
          <w:sz w:val="20"/>
          <w:szCs w:val="20"/>
        </w:rPr>
        <w:t>Адреса и платежные реквизиты Сторон</w:t>
      </w:r>
    </w:p>
    <w:p>
      <w:pPr>
        <w:pStyle w:val="ListParagraph"/>
        <w:widowControl/>
        <w:tabs>
          <w:tab w:val="clear" w:pos="708"/>
          <w:tab w:val="left" w:pos="426" w:leader="none"/>
        </w:tabs>
        <w:ind w:left="0" w:right="0" w:firstLine="709"/>
        <w:rPr>
          <w:rFonts w:ascii="Times New Roman" w:hAnsi="Times New Roman"/>
          <w:b/>
          <w:bCs/>
          <w:color w:val="00000A"/>
          <w:sz w:val="20"/>
          <w:szCs w:val="20"/>
        </w:rPr>
      </w:pPr>
      <w:r>
        <w:rPr>
          <w:b/>
          <w:bCs/>
          <w:color w:val="00000A"/>
          <w:sz w:val="20"/>
          <w:szCs w:val="20"/>
        </w:rPr>
      </w:r>
    </w:p>
    <w:tbl>
      <w:tblPr>
        <w:tblW w:w="10126" w:type="dxa"/>
        <w:jc w:val="left"/>
        <w:tblInd w:w="105" w:type="dxa"/>
        <w:tblLayout w:type="fixed"/>
        <w:tblCellMar>
          <w:top w:w="0" w:type="dxa"/>
          <w:left w:w="40" w:type="dxa"/>
          <w:bottom w:w="0" w:type="dxa"/>
          <w:right w:w="40" w:type="dxa"/>
        </w:tblCellMar>
      </w:tblPr>
      <w:tblGrid>
        <w:gridCol w:w="5049"/>
        <w:gridCol w:w="5076"/>
      </w:tblGrid>
      <w:tr>
        <w:trPr>
          <w:trHeight w:val="3888" w:hRule="exact"/>
        </w:trPr>
        <w:tc>
          <w:tcPr>
            <w:tcW w:w="5049" w:type="dxa"/>
            <w:tcBorders/>
            <w:shd w:fill="FFFFFF" w:val="clear"/>
          </w:tcPr>
          <w:p>
            <w:pPr>
              <w:pStyle w:val="Normal"/>
              <w:widowControl w:val="false"/>
              <w:ind w:left="34" w:right="176" w:hanging="0"/>
              <w:rPr/>
            </w:pPr>
            <w:r>
              <w:rPr>
                <w:rFonts w:ascii="Liberation Serif" w:hAnsi="Liberation Serif"/>
                <w:color w:val="00000A"/>
                <w:sz w:val="20"/>
                <w:szCs w:val="20"/>
              </w:rPr>
              <w:t>ПОСТАВЩИК:</w:t>
            </w:r>
          </w:p>
          <w:p>
            <w:pPr>
              <w:pStyle w:val="Normal"/>
              <w:widowControl w:val="false"/>
              <w:ind w:left="34" w:right="176" w:hanging="0"/>
              <w:jc w:val="both"/>
              <w:rPr/>
            </w:pPr>
            <w:r>
              <w:rPr>
                <w:rFonts w:ascii="Liberation Serif" w:hAnsi="Liberation Serif"/>
                <w:b/>
                <w:color w:val="00000A"/>
                <w:sz w:val="20"/>
                <w:szCs w:val="20"/>
              </w:rPr>
              <w:t>___________________</w:t>
            </w:r>
          </w:p>
          <w:p>
            <w:pPr>
              <w:pStyle w:val="Normal"/>
              <w:widowControl w:val="false"/>
              <w:ind w:left="34" w:right="176" w:hanging="0"/>
              <w:jc w:val="both"/>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Fonts w:ascii="Liberation Serif" w:hAnsi="Liberation Serif"/>
                <w:b w:val="false"/>
                <w:bCs w:val="false"/>
                <w:iCs/>
                <w:color w:val="00000A"/>
                <w:sz w:val="20"/>
                <w:szCs w:val="20"/>
                <w:lang w:val="en-US"/>
              </w:rPr>
            </w:pPr>
            <w:r>
              <w:rPr>
                <w:rFonts w:ascii="Liberation Serif" w:hAnsi="Liberation Serif"/>
                <w:b w:val="false"/>
                <w:bCs w:val="false"/>
                <w:iCs/>
                <w:color w:val="00000A"/>
                <w:sz w:val="20"/>
                <w:szCs w:val="20"/>
                <w:lang w:val="en-US"/>
              </w:rPr>
            </w:r>
          </w:p>
          <w:p>
            <w:pPr>
              <w:pStyle w:val="Normal"/>
              <w:widowControl w:val="false"/>
              <w:ind w:left="34" w:right="176" w:hanging="0"/>
              <w:jc w:val="both"/>
              <w:rPr>
                <w:rFonts w:ascii="Liberation Serif" w:hAnsi="Liberation Serif"/>
                <w:b w:val="false"/>
                <w:bCs w:val="false"/>
                <w:color w:val="00000A"/>
                <w:sz w:val="20"/>
                <w:szCs w:val="20"/>
              </w:rPr>
            </w:pPr>
            <w:r>
              <w:rPr>
                <w:rFonts w:ascii="Liberation Serif" w:hAnsi="Liberation Serif"/>
                <w:b w:val="false"/>
                <w:bCs w:val="false"/>
                <w:color w:val="00000A"/>
                <w:sz w:val="20"/>
                <w:szCs w:val="20"/>
              </w:rPr>
            </w:r>
          </w:p>
          <w:p>
            <w:pPr>
              <w:pStyle w:val="Normal"/>
              <w:widowControl w:val="false"/>
              <w:ind w:left="34" w:right="176" w:hanging="0"/>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Style w:val="Style19"/>
                <w:rFonts w:ascii="Liberation Serif" w:hAnsi="Liberation Serif"/>
                <w:b w:val="false"/>
                <w:bCs w:val="false"/>
                <w:color w:val="00000A"/>
                <w:sz w:val="20"/>
                <w:szCs w:val="20"/>
              </w:rPr>
            </w:pPr>
            <w:r>
              <w:rPr>
                <w:rFonts w:ascii="Liberation Serif" w:hAnsi="Liberation Serif"/>
                <w:b w:val="false"/>
                <w:bCs w:val="false"/>
                <w:color w:val="00000A"/>
                <w:sz w:val="20"/>
                <w:szCs w:val="20"/>
              </w:rPr>
            </w:r>
          </w:p>
        </w:tc>
        <w:tc>
          <w:tcPr>
            <w:tcW w:w="5076" w:type="dxa"/>
            <w:tcBorders/>
            <w:shd w:fill="FFFFFF" w:val="clear"/>
          </w:tcPr>
          <w:p>
            <w:pPr>
              <w:pStyle w:val="Heading8"/>
              <w:widowControl w:val="false"/>
              <w:ind w:left="34" w:right="176" w:hanging="0"/>
              <w:rPr>
                <w:rFonts w:ascii="Times New Roman" w:hAnsi="Times New Roman"/>
                <w:b w:val="false"/>
                <w:i w:val="false"/>
                <w:i w:val="false"/>
                <w:iCs w:val="false"/>
                <w:color w:val="00000A"/>
                <w:sz w:val="20"/>
                <w:szCs w:val="20"/>
              </w:rPr>
            </w:pPr>
            <w:r>
              <w:rPr>
                <w:b w:val="false"/>
                <w:i w:val="false"/>
                <w:iCs w:val="false"/>
                <w:color w:val="00000A"/>
                <w:sz w:val="20"/>
                <w:szCs w:val="20"/>
              </w:rPr>
              <w:t>ПОКУПАТЕЛЬ:</w:t>
            </w:r>
          </w:p>
          <w:p>
            <w:pPr>
              <w:pStyle w:val="Heading8"/>
              <w:widowControl w:val="false"/>
              <w:ind w:left="34" w:right="176" w:hanging="0"/>
              <w:rPr>
                <w:rFonts w:ascii="Times New Roman" w:hAnsi="Times New Roman"/>
                <w:i w:val="false"/>
                <w:i w:val="false"/>
                <w:iCs w:val="false"/>
                <w:color w:val="00000A"/>
                <w:sz w:val="20"/>
                <w:szCs w:val="20"/>
              </w:rPr>
            </w:pPr>
            <w:r>
              <w:rPr>
                <w:i w:val="false"/>
                <w:iCs w:val="false"/>
                <w:color w:val="00000A"/>
                <w:sz w:val="20"/>
                <w:szCs w:val="20"/>
              </w:rPr>
              <w:t>АО «ДРСК»</w:t>
            </w:r>
          </w:p>
          <w:p>
            <w:pPr>
              <w:pStyle w:val="Normal"/>
              <w:widowControl w:val="false"/>
              <w:ind w:left="34" w:right="176" w:hanging="0"/>
              <w:rPr>
                <w:rFonts w:ascii="Times New Roman" w:hAnsi="Times New Roman"/>
                <w:color w:val="00000A"/>
                <w:sz w:val="20"/>
                <w:szCs w:val="20"/>
              </w:rPr>
            </w:pPr>
            <w:r>
              <w:rPr>
                <w:color w:val="00000A"/>
                <w:sz w:val="20"/>
                <w:szCs w:val="20"/>
              </w:rPr>
            </w:r>
          </w:p>
          <w:p>
            <w:pPr>
              <w:pStyle w:val="Normal"/>
              <w:widowControl w:val="false"/>
              <w:ind w:left="34" w:right="176" w:hanging="0"/>
              <w:rPr>
                <w:rFonts w:ascii="Times New Roman" w:hAnsi="Times New Roman"/>
                <w:color w:val="00000A"/>
                <w:sz w:val="20"/>
                <w:szCs w:val="20"/>
              </w:rPr>
            </w:pPr>
            <w:r>
              <w:rPr>
                <w:color w:val="00000A"/>
                <w:sz w:val="20"/>
                <w:szCs w:val="20"/>
              </w:rPr>
              <w:t>Юридический адрес: 675004, РФ, Амурская область,</w:t>
            </w:r>
          </w:p>
          <w:p>
            <w:pPr>
              <w:pStyle w:val="Normal"/>
              <w:widowControl w:val="false"/>
              <w:ind w:left="34" w:right="176" w:hanging="0"/>
              <w:rPr>
                <w:rFonts w:ascii="Times New Roman" w:hAnsi="Times New Roman"/>
                <w:color w:val="00000A"/>
                <w:sz w:val="20"/>
                <w:szCs w:val="20"/>
              </w:rPr>
            </w:pPr>
            <w:r>
              <w:rPr>
                <w:color w:val="00000A"/>
                <w:sz w:val="20"/>
                <w:szCs w:val="20"/>
              </w:rPr>
              <w:t>г. Благовещенск, ул. Шевченко,32</w:t>
            </w:r>
          </w:p>
          <w:p>
            <w:pPr>
              <w:pStyle w:val="Normal"/>
              <w:widowControl w:val="false"/>
              <w:ind w:left="34" w:right="176" w:hanging="0"/>
              <w:rPr>
                <w:rFonts w:ascii="Times New Roman" w:hAnsi="Times New Roman"/>
                <w:color w:val="00000A"/>
                <w:sz w:val="20"/>
                <w:szCs w:val="20"/>
              </w:rPr>
            </w:pPr>
            <w:r>
              <w:rPr>
                <w:color w:val="00000A"/>
                <w:sz w:val="20"/>
                <w:szCs w:val="20"/>
              </w:rPr>
              <w:t>ИНН 2801108200; КПП 272402001</w:t>
            </w:r>
          </w:p>
          <w:p>
            <w:pPr>
              <w:pStyle w:val="Normal"/>
              <w:widowControl w:val="false"/>
              <w:ind w:left="34" w:right="176" w:hanging="0"/>
              <w:rPr>
                <w:rFonts w:ascii="Times New Roman" w:hAnsi="Times New Roman"/>
                <w:color w:val="00000A"/>
                <w:sz w:val="20"/>
                <w:szCs w:val="20"/>
              </w:rPr>
            </w:pPr>
            <w:r>
              <w:rPr>
                <w:color w:val="00000A"/>
                <w:sz w:val="20"/>
                <w:szCs w:val="20"/>
              </w:rPr>
              <w:t>р/с 40702810003010113258 Дальневосточный банк ПАО Сбербанк г. Хабаровск</w:t>
            </w:r>
          </w:p>
          <w:p>
            <w:pPr>
              <w:pStyle w:val="Normal"/>
              <w:widowControl w:val="false"/>
              <w:ind w:left="34" w:right="176" w:hanging="0"/>
              <w:rPr>
                <w:rFonts w:ascii="Times New Roman" w:hAnsi="Times New Roman"/>
                <w:color w:val="00000A"/>
                <w:sz w:val="20"/>
                <w:szCs w:val="20"/>
              </w:rPr>
            </w:pPr>
            <w:r>
              <w:rPr>
                <w:color w:val="00000A"/>
                <w:sz w:val="20"/>
                <w:szCs w:val="20"/>
              </w:rPr>
              <w:t>ИНН 7707083893</w:t>
            </w:r>
          </w:p>
          <w:p>
            <w:pPr>
              <w:pStyle w:val="Normal"/>
              <w:widowControl w:val="false"/>
              <w:ind w:left="34" w:right="176" w:hanging="0"/>
              <w:rPr>
                <w:rFonts w:ascii="Times New Roman" w:hAnsi="Times New Roman"/>
                <w:color w:val="00000A"/>
                <w:sz w:val="20"/>
                <w:szCs w:val="20"/>
              </w:rPr>
            </w:pPr>
            <w:r>
              <w:rPr>
                <w:color w:val="00000A"/>
                <w:sz w:val="20"/>
                <w:szCs w:val="20"/>
              </w:rPr>
              <w:t>к/с 30101810600000000608</w:t>
            </w:r>
          </w:p>
          <w:p>
            <w:pPr>
              <w:pStyle w:val="Footer"/>
              <w:widowControl w:val="false"/>
              <w:ind w:left="34" w:right="176" w:hanging="0"/>
              <w:rPr>
                <w:rFonts w:ascii="Times New Roman" w:hAnsi="Times New Roman"/>
                <w:color w:val="00000A"/>
                <w:sz w:val="20"/>
                <w:szCs w:val="20"/>
              </w:rPr>
            </w:pPr>
            <w:r>
              <w:rPr>
                <w:color w:val="00000A"/>
                <w:sz w:val="20"/>
                <w:szCs w:val="20"/>
              </w:rPr>
              <w:t>БИК 040813608</w:t>
            </w:r>
          </w:p>
          <w:p>
            <w:pPr>
              <w:pStyle w:val="Footer"/>
              <w:widowControl w:val="false"/>
              <w:ind w:left="34" w:right="176" w:hanging="0"/>
              <w:rPr>
                <w:rFonts w:ascii="Times New Roman" w:hAnsi="Times New Roman"/>
                <w:b/>
                <w:color w:val="00000A"/>
                <w:sz w:val="20"/>
                <w:szCs w:val="20"/>
              </w:rPr>
            </w:pPr>
            <w:r>
              <w:rPr>
                <w:b/>
                <w:color w:val="00000A"/>
                <w:sz w:val="20"/>
                <w:szCs w:val="20"/>
              </w:rPr>
              <w:t>Филиал АО «ДРСК» «ХЭС»</w:t>
            </w:r>
          </w:p>
          <w:p>
            <w:pPr>
              <w:pStyle w:val="Normal"/>
              <w:widowControl w:val="false"/>
              <w:ind w:left="34" w:right="176" w:hanging="0"/>
              <w:rPr>
                <w:rFonts w:ascii="Times New Roman" w:hAnsi="Times New Roman"/>
                <w:color w:val="00000A"/>
                <w:sz w:val="20"/>
                <w:szCs w:val="20"/>
              </w:rPr>
            </w:pPr>
            <w:r>
              <w:rPr>
                <w:color w:val="00000A"/>
                <w:sz w:val="20"/>
                <w:szCs w:val="20"/>
              </w:rPr>
              <w:t>680009, Российская Федерация, Хабаровский край, г. Хабаровск, ул. Промышленная,13</w:t>
            </w:r>
          </w:p>
          <w:p>
            <w:pPr>
              <w:pStyle w:val="Normal"/>
              <w:widowControl w:val="false"/>
              <w:ind w:left="34" w:right="176" w:hanging="0"/>
              <w:rPr>
                <w:rFonts w:ascii="Times New Roman" w:hAnsi="Times New Roman"/>
                <w:color w:val="00000A"/>
                <w:sz w:val="20"/>
                <w:szCs w:val="20"/>
              </w:rPr>
            </w:pPr>
            <w:r>
              <w:rPr>
                <w:color w:val="00000A"/>
                <w:sz w:val="20"/>
                <w:szCs w:val="20"/>
              </w:rPr>
              <w:t>Тел.: 8(4212) 59-99-67</w:t>
            </w:r>
          </w:p>
          <w:p>
            <w:pPr>
              <w:pStyle w:val="Normal"/>
              <w:widowControl w:val="false"/>
              <w:ind w:left="34" w:right="176" w:hanging="0"/>
              <w:rPr>
                <w:rFonts w:ascii="Times New Roman" w:hAnsi="Times New Roman"/>
                <w:color w:val="00000A"/>
                <w:sz w:val="20"/>
                <w:szCs w:val="20"/>
              </w:rPr>
            </w:pPr>
            <w:r>
              <w:rPr>
                <w:color w:val="00000A"/>
                <w:sz w:val="20"/>
                <w:szCs w:val="20"/>
              </w:rPr>
              <w:t>Факс: 8(4212) 27-16-77</w:t>
            </w:r>
          </w:p>
        </w:tc>
      </w:tr>
      <w:tr>
        <w:trPr>
          <w:trHeight w:val="769" w:hRule="atLeast"/>
        </w:trPr>
        <w:tc>
          <w:tcPr>
            <w:tcW w:w="5049" w:type="dxa"/>
            <w:tcBorders/>
            <w:shd w:fill="FFFFFF" w:val="clear"/>
          </w:tcPr>
          <w:p>
            <w:pPr>
              <w:pStyle w:val="Normal"/>
              <w:widowControl w:val="false"/>
              <w:ind w:left="34" w:right="176" w:hanging="0"/>
              <w:rPr>
                <w:rFonts w:ascii="Liberation Serif" w:hAnsi="Liberation Serif"/>
                <w:b/>
                <w:color w:val="00000A"/>
                <w:sz w:val="20"/>
                <w:szCs w:val="20"/>
              </w:rPr>
            </w:pPr>
            <w:r>
              <w:rPr>
                <w:rFonts w:ascii="Liberation Serif" w:hAnsi="Liberation Serif"/>
                <w:b/>
                <w:color w:val="00000A"/>
                <w:sz w:val="20"/>
                <w:szCs w:val="20"/>
              </w:rPr>
            </w:r>
          </w:p>
          <w:p>
            <w:pPr>
              <w:pStyle w:val="Normal"/>
              <w:widowControl w:val="false"/>
              <w:ind w:left="34" w:right="176" w:hanging="0"/>
              <w:rPr>
                <w:rFonts w:ascii="Liberation Serif" w:hAnsi="Liberation Serif"/>
                <w:b/>
                <w:color w:val="00000A"/>
                <w:sz w:val="20"/>
                <w:szCs w:val="20"/>
              </w:rPr>
            </w:pPr>
            <w:r>
              <w:rPr>
                <w:rFonts w:ascii="Liberation Serif" w:hAnsi="Liberation Serif"/>
                <w:b/>
                <w:color w:val="00000A"/>
                <w:sz w:val="20"/>
                <w:szCs w:val="20"/>
              </w:rPr>
            </w:r>
          </w:p>
          <w:p>
            <w:pPr>
              <w:pStyle w:val="Normal"/>
              <w:widowControl w:val="false"/>
              <w:ind w:left="34" w:right="176" w:hanging="0"/>
              <w:rPr/>
            </w:pPr>
            <w:r>
              <w:rPr>
                <w:rFonts w:ascii="Liberation Serif" w:hAnsi="Liberation Serif"/>
                <w:b/>
                <w:bCs/>
                <w:color w:val="00000A"/>
                <w:sz w:val="20"/>
                <w:szCs w:val="20"/>
              </w:rPr>
              <w:t>___________________________</w:t>
            </w:r>
          </w:p>
        </w:tc>
        <w:tc>
          <w:tcPr>
            <w:tcW w:w="5076" w:type="dxa"/>
            <w:tcBorders/>
            <w:shd w:fill="FFFFFF" w:val="clear"/>
          </w:tcPr>
          <w:p>
            <w:pPr>
              <w:pStyle w:val="Normal"/>
              <w:widowControl w:val="false"/>
              <w:ind w:left="34" w:right="176" w:hanging="0"/>
              <w:jc w:val="both"/>
              <w:rPr>
                <w:rFonts w:ascii="Times New Roman" w:hAnsi="Times New Roman"/>
                <w:b/>
                <w:bCs/>
                <w:color w:val="00000A"/>
                <w:sz w:val="20"/>
                <w:szCs w:val="20"/>
              </w:rPr>
            </w:pPr>
            <w:r>
              <w:rPr>
                <w:b/>
                <w:bCs/>
                <w:color w:val="00000A"/>
                <w:sz w:val="20"/>
                <w:szCs w:val="20"/>
              </w:rPr>
              <w:t>Директор филиала АО «ДРСК» «ХЭС»</w:t>
            </w:r>
          </w:p>
          <w:p>
            <w:pPr>
              <w:pStyle w:val="Normal"/>
              <w:widowControl w:val="false"/>
              <w:ind w:left="34" w:right="176" w:hanging="0"/>
              <w:jc w:val="both"/>
              <w:rPr>
                <w:rFonts w:ascii="Times New Roman" w:hAnsi="Times New Roman"/>
                <w:b/>
                <w:bCs/>
                <w:color w:val="00000A"/>
                <w:sz w:val="20"/>
                <w:szCs w:val="20"/>
              </w:rPr>
            </w:pPr>
            <w:r>
              <w:rPr>
                <w:b/>
                <w:bCs/>
                <w:color w:val="00000A"/>
                <w:sz w:val="20"/>
                <w:szCs w:val="20"/>
              </w:rPr>
            </w:r>
          </w:p>
          <w:p>
            <w:pPr>
              <w:pStyle w:val="Normal"/>
              <w:widowControl w:val="false"/>
              <w:ind w:left="34" w:right="176" w:hanging="0"/>
              <w:jc w:val="right"/>
              <w:rPr>
                <w:rFonts w:ascii="Times New Roman" w:hAnsi="Times New Roman"/>
                <w:b/>
                <w:bCs/>
                <w:color w:val="00000A"/>
                <w:sz w:val="20"/>
                <w:szCs w:val="20"/>
              </w:rPr>
            </w:pPr>
            <w:r>
              <w:rPr>
                <w:b/>
                <w:bCs/>
                <w:color w:val="00000A"/>
                <w:sz w:val="20"/>
                <w:szCs w:val="20"/>
              </w:rPr>
              <w:t>_______________________ Сугоровский М.А</w:t>
            </w:r>
          </w:p>
        </w:tc>
      </w:tr>
    </w:tbl>
    <w:p>
      <w:pPr>
        <w:pStyle w:val="Normal"/>
        <w:suppressAutoHyphens w:val="true"/>
        <w:ind w:left="0" w:right="0" w:hanging="0"/>
        <w:jc w:val="right"/>
        <w:rPr>
          <w:rFonts w:ascii="Times New Roman" w:hAnsi="Times New Roman"/>
          <w:sz w:val="20"/>
          <w:szCs w:val="20"/>
        </w:rPr>
      </w:pPr>
      <w:r>
        <w:rPr>
          <w:sz w:val="20"/>
          <w:szCs w:val="20"/>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jc w:val="right"/>
        <w:rPr/>
      </w:pPr>
      <w:r>
        <w:rPr/>
      </w:r>
    </w:p>
    <w:p>
      <w:pPr>
        <w:pStyle w:val="Normal"/>
        <w:jc w:val="left"/>
        <w:rPr/>
      </w:pPr>
      <w:r>
        <w:rPr/>
      </w:r>
      <w:r>
        <w:br w:type="page"/>
      </w:r>
    </w:p>
    <w:p>
      <w:pPr>
        <w:pStyle w:val="Normal"/>
        <w:widowControl w:val="false"/>
        <w:jc w:val="right"/>
        <w:rPr/>
      </w:pPr>
      <w:r>
        <w:rPr>
          <w:b w:val="false"/>
          <w:bCs w:val="false"/>
          <w:i w:val="false"/>
          <w:iCs w:val="false"/>
          <w:color w:val="000000"/>
          <w:sz w:val="20"/>
          <w:szCs w:val="20"/>
        </w:rPr>
        <w:t>П</w:t>
      </w:r>
      <w:r>
        <w:rPr>
          <w:b w:val="false"/>
          <w:bCs w:val="false"/>
          <w:i w:val="false"/>
          <w:iCs w:val="false"/>
          <w:sz w:val="20"/>
          <w:szCs w:val="20"/>
        </w:rPr>
        <w:t>риложение № 1</w:t>
        <w:br/>
        <w:t>к Договору поставки</w:t>
        <w:br/>
        <w:t>№ ________от «____» __________ 2025 г.</w:t>
      </w:r>
    </w:p>
    <w:p>
      <w:pPr>
        <w:pStyle w:val="Normal"/>
        <w:suppressAutoHyphens w:val="true"/>
        <w:ind w:left="0" w:right="0" w:hanging="0"/>
        <w:jc w:val="right"/>
        <w:rPr>
          <w:rFonts w:ascii="Times New Roman" w:hAnsi="Times New Roman"/>
          <w:sz w:val="20"/>
          <w:szCs w:val="20"/>
        </w:rPr>
      </w:pPr>
      <w:r>
        <w:rPr>
          <w:sz w:val="20"/>
          <w:szCs w:val="20"/>
        </w:rPr>
      </w:r>
    </w:p>
    <w:p>
      <w:pPr>
        <w:pStyle w:val="Normal"/>
        <w:suppressAutoHyphens w:val="true"/>
        <w:ind w:left="0" w:right="0" w:hanging="0"/>
        <w:jc w:val="center"/>
        <w:rPr>
          <w:sz w:val="20"/>
          <w:szCs w:val="20"/>
        </w:rPr>
      </w:pPr>
      <w:r>
        <w:rPr>
          <w:sz w:val="20"/>
          <w:szCs w:val="20"/>
        </w:rPr>
        <w:t>Спецификация 1</w:t>
      </w:r>
    </w:p>
    <w:p>
      <w:pPr>
        <w:pStyle w:val="Normal"/>
        <w:suppressAutoHyphens w:val="true"/>
        <w:ind w:left="0" w:right="0" w:hanging="0"/>
        <w:jc w:val="center"/>
        <w:rPr>
          <w:rFonts w:ascii="Times New Roman" w:hAnsi="Times New Roman"/>
          <w:sz w:val="20"/>
          <w:szCs w:val="20"/>
        </w:rPr>
      </w:pPr>
      <w:r>
        <w:rPr>
          <w:sz w:val="20"/>
          <w:szCs w:val="20"/>
        </w:rPr>
      </w:r>
    </w:p>
    <w:tbl>
      <w:tblPr>
        <w:tblW w:w="5000" w:type="pct"/>
        <w:jc w:val="left"/>
        <w:tblInd w:w="110" w:type="dxa"/>
        <w:tblLayout w:type="fixed"/>
        <w:tblCellMar>
          <w:top w:w="55" w:type="dxa"/>
          <w:left w:w="50" w:type="dxa"/>
          <w:bottom w:w="55" w:type="dxa"/>
          <w:right w:w="55" w:type="dxa"/>
        </w:tblCellMar>
      </w:tblPr>
      <w:tblGrid>
        <w:gridCol w:w="507"/>
        <w:gridCol w:w="5446"/>
        <w:gridCol w:w="827"/>
        <w:gridCol w:w="1256"/>
        <w:gridCol w:w="1257"/>
        <w:gridCol w:w="1256"/>
      </w:tblGrid>
      <w:tr>
        <w:trPr>
          <w:trHeight w:val="534" w:hRule="atLeast"/>
        </w:trPr>
        <w:tc>
          <w:tcPr>
            <w:tcW w:w="50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w:t>
            </w:r>
          </w:p>
        </w:tc>
        <w:tc>
          <w:tcPr>
            <w:tcW w:w="544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Наименование Поставщика</w:t>
            </w:r>
          </w:p>
        </w:tc>
        <w:tc>
          <w:tcPr>
            <w:tcW w:w="82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кол-во</w:t>
            </w:r>
          </w:p>
        </w:tc>
        <w:tc>
          <w:tcPr>
            <w:tcW w:w="125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ЕД. изм.</w:t>
            </w:r>
          </w:p>
        </w:tc>
        <w:tc>
          <w:tcPr>
            <w:tcW w:w="125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Цена с НДС</w:t>
            </w:r>
          </w:p>
        </w:tc>
        <w:tc>
          <w:tcPr>
            <w:tcW w:w="12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b/>
              </w:rPr>
            </w:pPr>
            <w:r>
              <w:rPr>
                <w:b/>
              </w:rPr>
              <w:t>Сумма с НДС</w:t>
            </w:r>
          </w:p>
        </w:tc>
      </w:tr>
      <w:tr>
        <w:trPr>
          <w:trHeight w:val="313" w:hRule="atLeast"/>
        </w:trPr>
        <w:tc>
          <w:tcPr>
            <w:tcW w:w="10549"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b/>
              </w:rPr>
            </w:pPr>
            <w:r>
              <w:rPr>
                <w:b/>
              </w:rPr>
              <w:t>Центральные электрические сети</w:t>
            </w:r>
          </w:p>
        </w:tc>
      </w:tr>
      <w:tr>
        <w:trPr>
          <w:trHeight w:val="534" w:hRule="atLeast"/>
        </w:trPr>
        <w:tc>
          <w:tcPr>
            <w:tcW w:w="50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pPr>
            <w:r>
              <w:rPr/>
              <w:t>1</w:t>
            </w:r>
          </w:p>
        </w:tc>
        <w:tc>
          <w:tcPr>
            <w:tcW w:w="5446" w:type="dxa"/>
            <w:tcBorders>
              <w:top w:val="single" w:sz="4" w:space="0" w:color="000000"/>
              <w:left w:val="single" w:sz="4" w:space="0" w:color="000000"/>
              <w:bottom w:val="single" w:sz="4" w:space="0" w:color="000000"/>
            </w:tcBorders>
            <w:shd w:fill="auto" w:val="clear"/>
            <w:vAlign w:val="center"/>
          </w:tcPr>
          <w:p>
            <w:pPr>
              <w:pStyle w:val="Normal"/>
              <w:widowControl w:val="false"/>
              <w:jc w:val="left"/>
              <w:rPr/>
            </w:pPr>
            <w:r>
              <w:rPr/>
            </w:r>
          </w:p>
        </w:tc>
        <w:tc>
          <w:tcPr>
            <w:tcW w:w="827" w:type="dxa"/>
            <w:tcBorders>
              <w:top w:val="single" w:sz="4" w:space="0" w:color="000000"/>
              <w:left w:val="single" w:sz="4" w:space="0" w:color="000000"/>
              <w:bottom w:val="single" w:sz="4" w:space="0" w:color="000000"/>
            </w:tcBorders>
            <w:shd w:fill="auto" w:val="clear"/>
            <w:vAlign w:val="center"/>
          </w:tcPr>
          <w:p>
            <w:pPr>
              <w:pStyle w:val="Normal"/>
              <w:widowControl w:val="false"/>
              <w:jc w:val="right"/>
              <w:rPr/>
            </w:pPr>
            <w:r>
              <w:rPr/>
            </w:r>
          </w:p>
        </w:tc>
        <w:tc>
          <w:tcPr>
            <w:tcW w:w="125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pPr>
            <w:r>
              <w:rPr/>
              <w:t>шт</w:t>
            </w:r>
          </w:p>
        </w:tc>
        <w:tc>
          <w:tcPr>
            <w:tcW w:w="1257" w:type="dxa"/>
            <w:tcBorders>
              <w:top w:val="single" w:sz="4" w:space="0" w:color="000000"/>
              <w:left w:val="single" w:sz="4" w:space="0" w:color="000000"/>
              <w:bottom w:val="single" w:sz="4" w:space="0" w:color="000000"/>
            </w:tcBorders>
            <w:shd w:fill="auto" w:val="clear"/>
            <w:vAlign w:val="center"/>
          </w:tcPr>
          <w:p>
            <w:pPr>
              <w:pStyle w:val="Normal"/>
              <w:widowControl w:val="false"/>
              <w:jc w:val="right"/>
              <w:rPr/>
            </w:pPr>
            <w:r>
              <w:rPr/>
            </w:r>
          </w:p>
        </w:tc>
        <w:tc>
          <w:tcPr>
            <w:tcW w:w="12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pPr>
            <w:r>
              <w:rPr/>
            </w:r>
          </w:p>
        </w:tc>
      </w:tr>
      <w:tr>
        <w:trPr>
          <w:trHeight w:val="313" w:hRule="atLeast"/>
        </w:trPr>
        <w:tc>
          <w:tcPr>
            <w:tcW w:w="8036" w:type="dxa"/>
            <w:gridSpan w:val="4"/>
            <w:tcBorders>
              <w:top w:val="single" w:sz="4" w:space="0" w:color="000000"/>
              <w:left w:val="single" w:sz="4" w:space="0" w:color="000000"/>
              <w:bottom w:val="single" w:sz="4" w:space="0" w:color="000000"/>
            </w:tcBorders>
            <w:shd w:fill="auto" w:val="clear"/>
            <w:vAlign w:val="center"/>
          </w:tcPr>
          <w:p>
            <w:pPr>
              <w:pStyle w:val="Normal"/>
              <w:widowControl w:val="false"/>
              <w:jc w:val="right"/>
              <w:rPr>
                <w:b/>
              </w:rPr>
            </w:pPr>
            <w:r>
              <w:rPr>
                <w:b/>
              </w:rPr>
              <w:t>Итого сумма с НДС:</w:t>
            </w:r>
          </w:p>
        </w:tc>
        <w:tc>
          <w:tcPr>
            <w:tcW w:w="251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b/>
              </w:rPr>
            </w:pPr>
            <w:r>
              <w:rPr>
                <w:b/>
              </w:rPr>
            </w:r>
          </w:p>
        </w:tc>
      </w:tr>
      <w:tr>
        <w:trPr>
          <w:trHeight w:val="313" w:hRule="atLeast"/>
        </w:trPr>
        <w:tc>
          <w:tcPr>
            <w:tcW w:w="8036" w:type="dxa"/>
            <w:gridSpan w:val="4"/>
            <w:tcBorders>
              <w:top w:val="single" w:sz="4" w:space="0" w:color="000000"/>
              <w:left w:val="single" w:sz="4" w:space="0" w:color="000000"/>
              <w:bottom w:val="single" w:sz="4" w:space="0" w:color="000000"/>
            </w:tcBorders>
            <w:shd w:fill="auto" w:val="clear"/>
            <w:vAlign w:val="center"/>
          </w:tcPr>
          <w:p>
            <w:pPr>
              <w:pStyle w:val="Normal"/>
              <w:widowControl w:val="false"/>
              <w:jc w:val="right"/>
              <w:rPr>
                <w:b/>
              </w:rPr>
            </w:pPr>
            <w:r>
              <w:rPr>
                <w:b/>
              </w:rPr>
              <w:t>В том числе НДС:</w:t>
            </w:r>
          </w:p>
        </w:tc>
        <w:tc>
          <w:tcPr>
            <w:tcW w:w="251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b/>
              </w:rPr>
            </w:pPr>
            <w:r>
              <w:rPr>
                <w:b/>
              </w:rPr>
            </w:r>
          </w:p>
        </w:tc>
      </w:tr>
    </w:tbl>
    <w:p>
      <w:pPr>
        <w:pStyle w:val="Normal"/>
        <w:rPr/>
      </w:pPr>
      <w:r>
        <w:rPr/>
      </w:r>
    </w:p>
    <w:p>
      <w:pPr>
        <w:pStyle w:val="Normal"/>
        <w:suppressAutoHyphens w:val="true"/>
        <w:ind w:left="0" w:right="0" w:hanging="0"/>
        <w:jc w:val="center"/>
        <w:rPr/>
      </w:pPr>
      <w:r>
        <w:rPr/>
      </w:r>
    </w:p>
    <w:p>
      <w:pPr>
        <w:pStyle w:val="Normal"/>
        <w:suppressAutoHyphens w:val="true"/>
        <w:ind w:left="0" w:right="0" w:hanging="0"/>
        <w:jc w:val="center"/>
        <w:rPr>
          <w:sz w:val="20"/>
          <w:szCs w:val="20"/>
        </w:rPr>
      </w:pPr>
      <w:r>
        <w:rPr>
          <w:sz w:val="20"/>
          <w:szCs w:val="20"/>
        </w:rPr>
      </w:r>
    </w:p>
    <w:p>
      <w:pPr>
        <w:pStyle w:val="Normal"/>
        <w:rPr/>
      </w:pPr>
      <w:r>
        <w:rPr/>
      </w:r>
    </w:p>
    <w:p>
      <w:pPr>
        <w:pStyle w:val="Normal"/>
        <w:rPr/>
      </w:pPr>
      <w:r>
        <w:rPr/>
      </w:r>
    </w:p>
    <w:tbl>
      <w:tblPr>
        <w:tblW w:w="15688" w:type="dxa"/>
        <w:jc w:val="center"/>
        <w:tblInd w:w="0" w:type="dxa"/>
        <w:tblLayout w:type="fixed"/>
        <w:tblCellMar>
          <w:top w:w="0" w:type="dxa"/>
          <w:left w:w="108" w:type="dxa"/>
          <w:bottom w:w="0" w:type="dxa"/>
          <w:right w:w="108" w:type="dxa"/>
        </w:tblCellMar>
      </w:tblPr>
      <w:tblGrid>
        <w:gridCol w:w="470"/>
        <w:gridCol w:w="2280"/>
        <w:gridCol w:w="2362"/>
        <w:gridCol w:w="1318"/>
        <w:gridCol w:w="618"/>
        <w:gridCol w:w="1042"/>
        <w:gridCol w:w="2025"/>
        <w:gridCol w:w="2480"/>
        <w:gridCol w:w="1522"/>
        <w:gridCol w:w="1569"/>
      </w:tblGrid>
      <w:tr>
        <w:trPr>
          <w:trHeight w:val="394" w:hRule="atLeast"/>
        </w:trPr>
        <w:tc>
          <w:tcPr>
            <w:tcW w:w="7048" w:type="dxa"/>
            <w:gridSpan w:val="5"/>
            <w:tcBorders/>
            <w:shd w:fill="auto" w:val="clear"/>
            <w:vAlign w:val="center"/>
          </w:tcPr>
          <w:p>
            <w:pPr>
              <w:pStyle w:val="Normal"/>
              <w:widowControl w:val="false"/>
              <w:jc w:val="left"/>
              <w:rPr>
                <w:b/>
                <w:bCs/>
                <w:sz w:val="20"/>
                <w:szCs w:val="20"/>
              </w:rPr>
            </w:pPr>
            <w:r>
              <w:rPr>
                <w:b/>
                <w:bCs/>
                <w:sz w:val="20"/>
                <w:szCs w:val="20"/>
              </w:rPr>
              <w:t>Срок поставки товара:</w:t>
            </w:r>
          </w:p>
        </w:tc>
        <w:tc>
          <w:tcPr>
            <w:tcW w:w="8638" w:type="dxa"/>
            <w:gridSpan w:val="5"/>
            <w:tcBorders/>
            <w:shd w:fill="auto" w:val="clear"/>
            <w:vAlign w:val="center"/>
          </w:tcPr>
          <w:p>
            <w:pPr>
              <w:pStyle w:val="Normal"/>
              <w:widowControl w:val="false"/>
              <w:jc w:val="left"/>
              <w:rPr>
                <w:b w:val="false"/>
                <w:bCs w:val="false"/>
                <w:sz w:val="20"/>
                <w:szCs w:val="20"/>
              </w:rPr>
            </w:pPr>
            <w:r>
              <w:rPr>
                <w:b w:val="false"/>
                <w:bCs w:val="false"/>
                <w:sz w:val="20"/>
                <w:szCs w:val="20"/>
              </w:rPr>
            </w:r>
          </w:p>
        </w:tc>
      </w:tr>
      <w:tr>
        <w:trPr>
          <w:trHeight w:val="1865" w:hRule="atLeast"/>
        </w:trPr>
        <w:tc>
          <w:tcPr>
            <w:tcW w:w="7048" w:type="dxa"/>
            <w:gridSpan w:val="5"/>
            <w:tcBorders/>
            <w:shd w:fill="auto" w:val="clear"/>
            <w:vAlign w:val="center"/>
          </w:tcPr>
          <w:p>
            <w:pPr>
              <w:pStyle w:val="Normal"/>
              <w:widowControl w:val="false"/>
              <w:jc w:val="left"/>
              <w:rPr>
                <w:rFonts w:ascii="Times New Roman" w:hAnsi="Times New Roman"/>
                <w:b/>
                <w:bCs/>
                <w:sz w:val="20"/>
                <w:szCs w:val="20"/>
              </w:rPr>
            </w:pPr>
            <w:r>
              <w:rPr>
                <w:b/>
                <w:bCs/>
                <w:sz w:val="20"/>
                <w:szCs w:val="20"/>
              </w:rPr>
            </w:r>
          </w:p>
          <w:p>
            <w:pPr>
              <w:pStyle w:val="Normal"/>
              <w:widowControl w:val="false"/>
              <w:jc w:val="left"/>
              <w:rPr/>
            </w:pPr>
            <w:r>
              <w:rPr>
                <w:b/>
                <w:bCs/>
                <w:sz w:val="20"/>
                <w:szCs w:val="20"/>
              </w:rPr>
              <w:t>Грузополучатель 1:</w:t>
            </w:r>
          </w:p>
        </w:tc>
        <w:tc>
          <w:tcPr>
            <w:tcW w:w="8638" w:type="dxa"/>
            <w:gridSpan w:val="5"/>
            <w:tcBorders/>
            <w:shd w:fill="auto" w:val="clear"/>
            <w:vAlign w:val="center"/>
          </w:tcPr>
          <w:p>
            <w:pPr>
              <w:pStyle w:val="Normal"/>
              <w:widowControl w:val="false"/>
              <w:jc w:val="left"/>
              <w:rPr>
                <w:b w:val="false"/>
                <w:bCs w:val="false"/>
                <w:sz w:val="20"/>
                <w:szCs w:val="20"/>
              </w:rPr>
            </w:pPr>
            <w:r>
              <w:rPr>
                <w:b w:val="false"/>
                <w:bCs w:val="false"/>
                <w:sz w:val="20"/>
                <w:szCs w:val="20"/>
              </w:rPr>
              <w:t>Филиал АО "ДРСК" "Хабаровские электрические сети", 680009, Хабаровский край, Хабаровск г, Промышленная ул, дом № 13.</w:t>
            </w:r>
            <w:r>
              <w:rPr>
                <w:b/>
                <w:sz w:val="20"/>
                <w:szCs w:val="20"/>
              </w:rPr>
              <w:br/>
            </w:r>
            <w:r>
              <w:rPr>
                <w:b w:val="false"/>
                <w:bCs w:val="false"/>
                <w:sz w:val="20"/>
                <w:szCs w:val="20"/>
              </w:rPr>
              <w:br/>
            </w:r>
            <w:r>
              <w:rPr>
                <w:b/>
                <w:bCs/>
                <w:sz w:val="20"/>
                <w:szCs w:val="20"/>
              </w:rPr>
              <w:t>Контактное лицо:</w:t>
            </w:r>
          </w:p>
        </w:tc>
      </w:tr>
      <w:tr>
        <w:trPr>
          <w:trHeight w:val="340" w:hRule="atLeast"/>
        </w:trPr>
        <w:tc>
          <w:tcPr>
            <w:tcW w:w="470" w:type="dxa"/>
            <w:tcBorders/>
            <w:shd w:fill="auto" w:val="clear"/>
            <w:vAlign w:val="bottom"/>
          </w:tcPr>
          <w:p>
            <w:pPr>
              <w:pStyle w:val="Normal"/>
              <w:widowControl w:val="false"/>
              <w:jc w:val="left"/>
              <w:rPr>
                <w:rFonts w:ascii="Times New Roman" w:hAnsi="Times New Roman"/>
                <w:sz w:val="20"/>
                <w:szCs w:val="20"/>
              </w:rPr>
            </w:pPr>
            <w:r>
              <w:rPr>
                <w:sz w:val="20"/>
                <w:szCs w:val="20"/>
              </w:rPr>
            </w:r>
          </w:p>
        </w:tc>
        <w:tc>
          <w:tcPr>
            <w:tcW w:w="6578" w:type="dxa"/>
            <w:gridSpan w:val="4"/>
            <w:tcBorders/>
            <w:shd w:fill="auto" w:val="clear"/>
            <w:vAlign w:val="center"/>
          </w:tcPr>
          <w:p>
            <w:pPr>
              <w:pStyle w:val="Normal"/>
              <w:widowControl w:val="false"/>
              <w:jc w:val="center"/>
              <w:rPr>
                <w:rFonts w:ascii="Times New Roman" w:hAnsi="Times New Roman"/>
                <w:sz w:val="20"/>
                <w:szCs w:val="20"/>
              </w:rPr>
            </w:pPr>
            <w:r>
              <w:rPr>
                <w:sz w:val="20"/>
                <w:szCs w:val="20"/>
              </w:rPr>
            </w:r>
          </w:p>
        </w:tc>
        <w:tc>
          <w:tcPr>
            <w:tcW w:w="8638" w:type="dxa"/>
            <w:gridSpan w:val="5"/>
            <w:tcBorders/>
            <w:shd w:fill="auto" w:val="clear"/>
            <w:vAlign w:val="center"/>
          </w:tcPr>
          <w:p>
            <w:pPr>
              <w:pStyle w:val="Normal"/>
              <w:widowControl w:val="false"/>
              <w:jc w:val="center"/>
              <w:rPr>
                <w:rFonts w:ascii="Times New Roman" w:hAnsi="Times New Roman"/>
                <w:sz w:val="20"/>
                <w:szCs w:val="20"/>
              </w:rPr>
            </w:pPr>
            <w:r>
              <w:rPr>
                <w:sz w:val="20"/>
                <w:szCs w:val="20"/>
              </w:rPr>
            </w:r>
          </w:p>
        </w:tc>
      </w:tr>
      <w:tr>
        <w:trPr>
          <w:trHeight w:val="285" w:hRule="atLeast"/>
        </w:trPr>
        <w:tc>
          <w:tcPr>
            <w:tcW w:w="7048" w:type="dxa"/>
            <w:gridSpan w:val="5"/>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8638" w:type="dxa"/>
            <w:gridSpan w:val="5"/>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7048" w:type="dxa"/>
            <w:gridSpan w:val="5"/>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8638" w:type="dxa"/>
            <w:gridSpan w:val="5"/>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r>
        <w:trPr>
          <w:trHeight w:val="288"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3091" w:type="dxa"/>
            <w:gridSpan w:val="2"/>
            <w:tcBorders/>
            <w:shd w:fill="auto" w:val="clear"/>
            <w:vAlign w:val="center"/>
          </w:tcPr>
          <w:p>
            <w:pPr>
              <w:pStyle w:val="Normal"/>
              <w:widowControl w:val="false"/>
              <w:jc w:val="right"/>
              <w:rPr>
                <w:color w:val="000000"/>
                <w:sz w:val="20"/>
                <w:szCs w:val="20"/>
              </w:rPr>
            </w:pPr>
            <w:r>
              <w:rPr>
                <w:color w:val="000000"/>
                <w:sz w:val="20"/>
                <w:szCs w:val="20"/>
              </w:rPr>
              <w:t>Приложение №2</w:t>
            </w:r>
          </w:p>
        </w:tc>
      </w:tr>
      <w:tr>
        <w:trPr>
          <w:trHeight w:val="288"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5571" w:type="dxa"/>
            <w:gridSpan w:val="3"/>
            <w:tcBorders/>
            <w:shd w:fill="auto" w:val="clear"/>
            <w:vAlign w:val="bottom"/>
          </w:tcPr>
          <w:p>
            <w:pPr>
              <w:pStyle w:val="Normal"/>
              <w:widowControl w:val="false"/>
              <w:jc w:val="right"/>
              <w:rPr>
                <w:color w:val="000000"/>
                <w:sz w:val="20"/>
                <w:szCs w:val="20"/>
              </w:rPr>
            </w:pPr>
            <w:r>
              <w:rPr>
                <w:color w:val="000000"/>
                <w:sz w:val="20"/>
                <w:szCs w:val="20"/>
              </w:rPr>
              <w:t>к договору поставки</w:t>
            </w:r>
          </w:p>
          <w:p>
            <w:pPr>
              <w:pStyle w:val="Normal"/>
              <w:widowControl w:val="false"/>
              <w:jc w:val="right"/>
              <w:rPr>
                <w:color w:val="000000"/>
                <w:sz w:val="20"/>
                <w:szCs w:val="20"/>
              </w:rPr>
            </w:pPr>
            <w:r>
              <w:rPr>
                <w:color w:val="000000"/>
                <w:sz w:val="20"/>
                <w:szCs w:val="20"/>
              </w:rPr>
              <w:t xml:space="preserve">№ </w:t>
            </w:r>
            <w:r>
              <w:rPr>
                <w:color w:val="000000"/>
                <w:sz w:val="20"/>
                <w:szCs w:val="20"/>
              </w:rPr>
              <w:t>_____________</w:t>
            </w:r>
          </w:p>
        </w:tc>
      </w:tr>
      <w:tr>
        <w:trPr>
          <w:trHeight w:val="288" w:hRule="atLeast"/>
        </w:trPr>
        <w:tc>
          <w:tcPr>
            <w:tcW w:w="2750" w:type="dxa"/>
            <w:gridSpan w:val="2"/>
            <w:tcBorders/>
            <w:shd w:fill="auto" w:val="clear"/>
            <w:vAlign w:val="bottom"/>
          </w:tcPr>
          <w:p>
            <w:pPr>
              <w:pStyle w:val="Normal"/>
              <w:widowControl w:val="false"/>
              <w:rPr>
                <w:b/>
                <w:color w:val="000000"/>
                <w:sz w:val="20"/>
                <w:szCs w:val="20"/>
              </w:rPr>
            </w:pPr>
            <w:r>
              <w:rPr>
                <w:b/>
                <w:color w:val="000000"/>
                <w:sz w:val="20"/>
                <w:szCs w:val="20"/>
              </w:rPr>
              <w:t>Ф О Р М А</w:t>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3091" w:type="dxa"/>
            <w:gridSpan w:val="2"/>
            <w:tcBorders/>
            <w:shd w:fill="auto" w:val="clear"/>
            <w:vAlign w:val="center"/>
          </w:tcPr>
          <w:p>
            <w:pPr>
              <w:pStyle w:val="Normal"/>
              <w:widowControl w:val="false"/>
              <w:jc w:val="right"/>
              <w:rPr>
                <w:color w:val="000000"/>
                <w:sz w:val="20"/>
                <w:szCs w:val="20"/>
              </w:rPr>
            </w:pPr>
            <w:r>
              <w:rPr>
                <w:color w:val="000000"/>
                <w:sz w:val="20"/>
                <w:szCs w:val="20"/>
              </w:rPr>
              <w:t>От _______________2025 г.</w:t>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22"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300"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9845" w:type="dxa"/>
            <w:gridSpan w:val="6"/>
            <w:tcBorders/>
            <w:shd w:fill="auto" w:val="clear"/>
            <w:vAlign w:val="bottom"/>
          </w:tcPr>
          <w:p>
            <w:pPr>
              <w:pStyle w:val="Normal"/>
              <w:widowControl w:val="false"/>
              <w:jc w:val="center"/>
              <w:rPr>
                <w:color w:val="000000"/>
                <w:sz w:val="20"/>
                <w:szCs w:val="20"/>
              </w:rPr>
            </w:pPr>
            <w:r>
              <w:rPr>
                <w:color w:val="000000"/>
                <w:sz w:val="20"/>
                <w:szCs w:val="20"/>
              </w:rPr>
              <w:t>Уведомление</w:t>
            </w:r>
          </w:p>
          <w:p>
            <w:pPr>
              <w:pStyle w:val="Normal"/>
              <w:widowControl w:val="false"/>
              <w:jc w:val="center"/>
              <w:rPr>
                <w:color w:val="000000"/>
                <w:sz w:val="20"/>
                <w:szCs w:val="20"/>
              </w:rPr>
            </w:pPr>
            <w:r>
              <w:rPr>
                <w:color w:val="000000"/>
                <w:sz w:val="20"/>
                <w:szCs w:val="20"/>
              </w:rPr>
              <w:t>Информация об отгрузке и по доставке ТМЦ</w:t>
            </w:r>
          </w:p>
        </w:tc>
        <w:tc>
          <w:tcPr>
            <w:tcW w:w="1522"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300"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atLeast"/>
        </w:trPr>
        <w:tc>
          <w:tcPr>
            <w:tcW w:w="2750" w:type="dxa"/>
            <w:gridSpan w:val="2"/>
            <w:vMerge w:val="restart"/>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Поставщик (в соответствии с условиями договора)***</w:t>
            </w:r>
          </w:p>
        </w:tc>
        <w:tc>
          <w:tcPr>
            <w:tcW w:w="7365" w:type="dxa"/>
            <w:gridSpan w:val="5"/>
            <w:tcBorders>
              <w:top w:val="single" w:sz="8"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Грузоотправитель (место отгрузки товара)*</w:t>
            </w:r>
          </w:p>
        </w:tc>
        <w:tc>
          <w:tcPr>
            <w:tcW w:w="5571" w:type="dxa"/>
            <w:gridSpan w:val="3"/>
            <w:tcBorders>
              <w:top w:val="single" w:sz="8" w:space="0" w:color="000001"/>
              <w:left w:val="single" w:sz="8" w:space="0" w:color="000001"/>
              <w:bottom w:val="single" w:sz="4" w:space="0" w:color="000001"/>
              <w:right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Транспортная компания (перевозчик)</w:t>
            </w:r>
          </w:p>
        </w:tc>
      </w:tr>
      <w:tr>
        <w:trPr>
          <w:trHeight w:val="564" w:hRule="atLeast"/>
        </w:trPr>
        <w:tc>
          <w:tcPr>
            <w:tcW w:w="2750" w:type="dxa"/>
            <w:gridSpan w:val="2"/>
            <w:vMerge w:val="continue"/>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rPr/>
            </w:pPr>
            <w:r>
              <w:rPr/>
            </w:r>
          </w:p>
        </w:tc>
        <w:tc>
          <w:tcPr>
            <w:tcW w:w="2362"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Наименование контрагента</w:t>
            </w:r>
          </w:p>
        </w:tc>
        <w:tc>
          <w:tcPr>
            <w:tcW w:w="1318"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ИНН/КПП</w:t>
            </w:r>
          </w:p>
        </w:tc>
        <w:tc>
          <w:tcPr>
            <w:tcW w:w="1660" w:type="dxa"/>
            <w:gridSpan w:val="2"/>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Адрес склада</w:t>
            </w:r>
          </w:p>
        </w:tc>
        <w:tc>
          <w:tcPr>
            <w:tcW w:w="2025" w:type="dxa"/>
            <w:tcBorders>
              <w:top w:val="single" w:sz="8" w:space="0" w:color="000001"/>
              <w:bottom w:val="single" w:sz="8" w:space="0" w:color="000001"/>
            </w:tcBorders>
            <w:shd w:fill="auto" w:val="clear"/>
            <w:vAlign w:val="bottom"/>
          </w:tcPr>
          <w:p>
            <w:pPr>
              <w:pStyle w:val="Normal"/>
              <w:widowControl w:val="false"/>
              <w:jc w:val="center"/>
              <w:rPr>
                <w:color w:val="000000"/>
                <w:sz w:val="20"/>
                <w:szCs w:val="20"/>
              </w:rPr>
            </w:pPr>
            <w:r>
              <w:rPr>
                <w:color w:val="000000"/>
                <w:sz w:val="20"/>
                <w:szCs w:val="20"/>
              </w:rPr>
              <w:t>№</w:t>
            </w:r>
            <w:r>
              <w:rPr>
                <w:color w:val="000000"/>
                <w:sz w:val="20"/>
                <w:szCs w:val="20"/>
              </w:rPr>
              <w:t>, дата договора, (соглашения)**</w:t>
            </w:r>
          </w:p>
        </w:tc>
        <w:tc>
          <w:tcPr>
            <w:tcW w:w="2480"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Наименование контрагента</w:t>
            </w:r>
          </w:p>
        </w:tc>
        <w:tc>
          <w:tcPr>
            <w:tcW w:w="1522"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ИНН/КПП</w:t>
            </w:r>
          </w:p>
        </w:tc>
        <w:tc>
          <w:tcPr>
            <w:tcW w:w="1569"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w:t>
            </w:r>
            <w:r>
              <w:rPr>
                <w:color w:val="000000"/>
                <w:sz w:val="20"/>
                <w:szCs w:val="20"/>
              </w:rPr>
              <w:t>, дата договора, (соглашения)**</w:t>
            </w:r>
          </w:p>
        </w:tc>
      </w:tr>
      <w:tr>
        <w:trPr>
          <w:trHeight w:val="300" w:hRule="atLeast"/>
        </w:trPr>
        <w:tc>
          <w:tcPr>
            <w:tcW w:w="2750" w:type="dxa"/>
            <w:gridSpan w:val="2"/>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1</w:t>
            </w:r>
          </w:p>
        </w:tc>
        <w:tc>
          <w:tcPr>
            <w:tcW w:w="2362"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2</w:t>
            </w:r>
          </w:p>
        </w:tc>
        <w:tc>
          <w:tcPr>
            <w:tcW w:w="1318"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3</w:t>
            </w:r>
          </w:p>
        </w:tc>
        <w:tc>
          <w:tcPr>
            <w:tcW w:w="1660" w:type="dxa"/>
            <w:gridSpan w:val="2"/>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4</w:t>
            </w:r>
          </w:p>
        </w:tc>
        <w:tc>
          <w:tcPr>
            <w:tcW w:w="2025"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5</w:t>
            </w:r>
          </w:p>
        </w:tc>
        <w:tc>
          <w:tcPr>
            <w:tcW w:w="2480"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6</w:t>
            </w:r>
          </w:p>
        </w:tc>
        <w:tc>
          <w:tcPr>
            <w:tcW w:w="1522"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7</w:t>
            </w:r>
          </w:p>
        </w:tc>
        <w:tc>
          <w:tcPr>
            <w:tcW w:w="1569"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8</w:t>
            </w:r>
          </w:p>
        </w:tc>
      </w:tr>
      <w:tr>
        <w:trPr>
          <w:trHeight w:val="288" w:hRule="atLeast"/>
        </w:trPr>
        <w:tc>
          <w:tcPr>
            <w:tcW w:w="2750" w:type="dxa"/>
            <w:gridSpan w:val="2"/>
            <w:tcBorders>
              <w:top w:val="single" w:sz="4" w:space="0" w:color="000001"/>
              <w:left w:val="single" w:sz="8" w:space="0" w:color="000001"/>
              <w:bottom w:val="single" w:sz="4" w:space="0" w:color="000001"/>
            </w:tcBorders>
            <w:shd w:fill="auto" w:val="clear"/>
            <w:tcMar>
              <w:left w:w="8" w:type="dxa"/>
            </w:tcMar>
            <w:vAlign w:val="center"/>
          </w:tcPr>
          <w:p>
            <w:pPr>
              <w:pStyle w:val="Normal"/>
              <w:widowControl w:val="false"/>
              <w:jc w:val="center"/>
              <w:rPr>
                <w:color w:val="000000"/>
                <w:sz w:val="20"/>
                <w:szCs w:val="20"/>
              </w:rPr>
            </w:pPr>
            <w:r>
              <w:rPr>
                <w:color w:val="000000"/>
                <w:sz w:val="20"/>
                <w:szCs w:val="20"/>
              </w:rPr>
              <w:t>ООО «…»</w:t>
            </w:r>
          </w:p>
        </w:tc>
        <w:tc>
          <w:tcPr>
            <w:tcW w:w="2362" w:type="dxa"/>
            <w:tcBorders>
              <w:top w:val="single" w:sz="4"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ООО «…»</w:t>
            </w:r>
          </w:p>
        </w:tc>
        <w:tc>
          <w:tcPr>
            <w:tcW w:w="1318"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660" w:type="dxa"/>
            <w:gridSpan w:val="2"/>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2025"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c>
          <w:tcPr>
            <w:tcW w:w="2480"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ООО «…»</w:t>
            </w:r>
          </w:p>
        </w:tc>
        <w:tc>
          <w:tcPr>
            <w:tcW w:w="1522"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69"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r>
      <w:tr>
        <w:trPr>
          <w:trHeight w:val="288" w:hRule="atLeast"/>
        </w:trPr>
        <w:tc>
          <w:tcPr>
            <w:tcW w:w="2750" w:type="dxa"/>
            <w:gridSpan w:val="2"/>
            <w:tcBorders>
              <w:top w:val="single" w:sz="4" w:space="0" w:color="000001"/>
              <w:left w:val="single" w:sz="8" w:space="0" w:color="000001"/>
              <w:bottom w:val="single" w:sz="4" w:space="0" w:color="000001"/>
            </w:tcBorders>
            <w:shd w:fill="auto" w:val="clear"/>
            <w:tcMar>
              <w:left w:w="8" w:type="dxa"/>
            </w:tcMar>
            <w:vAlign w:val="center"/>
          </w:tcPr>
          <w:p>
            <w:pPr>
              <w:pStyle w:val="Normal"/>
              <w:widowControl w:val="false"/>
              <w:jc w:val="center"/>
              <w:rPr>
                <w:rFonts w:ascii="Times New Roman" w:hAnsi="Times New Roman"/>
                <w:sz w:val="20"/>
                <w:szCs w:val="20"/>
              </w:rPr>
            </w:pPr>
            <w:r>
              <w:rPr>
                <w:sz w:val="20"/>
                <w:szCs w:val="20"/>
              </w:rPr>
            </w:r>
          </w:p>
        </w:tc>
        <w:tc>
          <w:tcPr>
            <w:tcW w:w="2362" w:type="dxa"/>
            <w:tcBorders>
              <w:top w:val="single" w:sz="4"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rPr>
                <w:rFonts w:ascii="Times New Roman" w:hAnsi="Times New Roman"/>
                <w:sz w:val="20"/>
                <w:szCs w:val="20"/>
              </w:rPr>
            </w:pPr>
            <w:r>
              <w:rPr>
                <w:sz w:val="20"/>
                <w:szCs w:val="20"/>
              </w:rPr>
            </w:r>
          </w:p>
        </w:tc>
        <w:tc>
          <w:tcPr>
            <w:tcW w:w="1318"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660" w:type="dxa"/>
            <w:gridSpan w:val="2"/>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2025"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c>
          <w:tcPr>
            <w:tcW w:w="2480"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22"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69"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atLeast"/>
        </w:trPr>
        <w:tc>
          <w:tcPr>
            <w:tcW w:w="5112" w:type="dxa"/>
            <w:gridSpan w:val="3"/>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522" w:type="dxa"/>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28" w:hRule="atLeast"/>
        </w:trPr>
        <w:tc>
          <w:tcPr>
            <w:tcW w:w="5112" w:type="dxa"/>
            <w:gridSpan w:val="3"/>
            <w:tcBorders>
              <w:top w:val="single" w:sz="4" w:space="0" w:color="000001"/>
            </w:tcBorders>
            <w:shd w:fill="auto" w:val="clear"/>
            <w:vAlign w:val="bottom"/>
          </w:tcPr>
          <w:p>
            <w:pPr>
              <w:pStyle w:val="Normal"/>
              <w:widowControl w:val="false"/>
              <w:jc w:val="center"/>
              <w:rPr>
                <w:color w:val="000000"/>
                <w:sz w:val="20"/>
                <w:szCs w:val="20"/>
              </w:rPr>
            </w:pPr>
            <w:r>
              <w:rPr>
                <w:color w:val="000000"/>
                <w:sz w:val="20"/>
                <w:szCs w:val="20"/>
              </w:rPr>
              <w:t>поставщик</w:t>
            </w:r>
          </w:p>
        </w:tc>
        <w:tc>
          <w:tcPr>
            <w:tcW w:w="1318" w:type="dxa"/>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jc w:val="center"/>
              <w:rPr>
                <w:color w:val="000000"/>
                <w:sz w:val="20"/>
                <w:szCs w:val="20"/>
              </w:rPr>
            </w:pPr>
            <w:r>
              <w:rPr>
                <w:color w:val="000000"/>
                <w:sz w:val="20"/>
                <w:szCs w:val="20"/>
              </w:rPr>
              <w:t>подпись</w:t>
            </w:r>
          </w:p>
        </w:tc>
        <w:tc>
          <w:tcPr>
            <w:tcW w:w="1522" w:type="dxa"/>
            <w:tcBorders/>
            <w:shd w:fill="auto" w:val="clear"/>
            <w:vAlign w:val="bottom"/>
          </w:tcPr>
          <w:p>
            <w:pPr>
              <w:pStyle w:val="Normal"/>
              <w:widowControl w:val="false"/>
              <w:jc w:val="center"/>
              <w:rPr>
                <w:color w:val="000000"/>
                <w:sz w:val="20"/>
                <w:szCs w:val="20"/>
              </w:rPr>
            </w:pPr>
            <w:r>
              <w:rPr>
                <w:color w:val="000000"/>
                <w:sz w:val="20"/>
                <w:szCs w:val="20"/>
              </w:rPr>
              <w:t>ФИО</w:t>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480" w:hRule="atLeast"/>
        </w:trPr>
        <w:tc>
          <w:tcPr>
            <w:tcW w:w="5112" w:type="dxa"/>
            <w:gridSpan w:val="3"/>
            <w:tcBorders/>
            <w:shd w:fill="auto" w:val="clear"/>
            <w:vAlign w:val="bottom"/>
          </w:tcPr>
          <w:p>
            <w:pPr>
              <w:pStyle w:val="Normal"/>
              <w:widowControl w:val="false"/>
              <w:rPr/>
            </w:pPr>
            <w:r>
              <w:rPr>
                <w:b/>
                <w:bCs/>
                <w:color w:val="000000"/>
                <w:sz w:val="20"/>
                <w:szCs w:val="20"/>
              </w:rPr>
              <w:t>*</w:t>
            </w:r>
            <w:r>
              <w:rPr>
                <w:color w:val="000000"/>
                <w:sz w:val="20"/>
                <w:szCs w:val="20"/>
              </w:rPr>
              <w:t>ТОРГ-12, счет-фактура - по строке грузоотправитель указывается организация грузоотправителя</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480" w:hRule="atLeast"/>
        </w:trPr>
        <w:tc>
          <w:tcPr>
            <w:tcW w:w="5112" w:type="dxa"/>
            <w:gridSpan w:val="3"/>
            <w:tcBorders/>
            <w:shd w:fill="auto" w:val="clear"/>
            <w:vAlign w:val="bottom"/>
          </w:tcPr>
          <w:p>
            <w:pPr>
              <w:pStyle w:val="Normal"/>
              <w:widowControl w:val="false"/>
              <w:rPr/>
            </w:pPr>
            <w:r>
              <w:rPr>
                <w:b/>
                <w:bCs/>
                <w:color w:val="000000"/>
                <w:sz w:val="20"/>
                <w:szCs w:val="20"/>
              </w:rPr>
              <w:t>**</w:t>
            </w:r>
            <w:r>
              <w:rPr>
                <w:color w:val="000000"/>
                <w:sz w:val="20"/>
                <w:szCs w:val="20"/>
              </w:rPr>
              <w:t>Реквизиты документа, согласно которому поставщиком передана обязанность по поставке груза</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577" w:hRule="atLeast"/>
        </w:trPr>
        <w:tc>
          <w:tcPr>
            <w:tcW w:w="5112" w:type="dxa"/>
            <w:gridSpan w:val="3"/>
            <w:tcBorders/>
            <w:shd w:fill="auto" w:val="clear"/>
            <w:vAlign w:val="bottom"/>
          </w:tcPr>
          <w:p>
            <w:pPr>
              <w:pStyle w:val="Normal"/>
              <w:widowControl w:val="false"/>
              <w:rPr/>
            </w:pPr>
            <w:r>
              <w:rPr>
                <w:b/>
                <w:bCs/>
                <w:color w:val="000000"/>
                <w:sz w:val="20"/>
                <w:szCs w:val="20"/>
              </w:rPr>
              <w:t xml:space="preserve">*** </w:t>
            </w:r>
            <w:r>
              <w:rPr>
                <w:color w:val="000000"/>
                <w:sz w:val="20"/>
                <w:szCs w:val="20"/>
              </w:rPr>
              <w:t>В случае поставки товара силами поставщика в графе 2,6 проставляется "он же"</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bl>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tbl>
      <w:tblPr>
        <w:tblW w:w="5000" w:type="pct"/>
        <w:jc w:val="left"/>
        <w:tblInd w:w="60" w:type="dxa"/>
        <w:tblLayout w:type="fixed"/>
        <w:tblCellMar>
          <w:top w:w="0" w:type="dxa"/>
          <w:left w:w="30" w:type="dxa"/>
          <w:bottom w:w="0" w:type="dxa"/>
          <w:right w:w="30" w:type="dxa"/>
        </w:tblCellMar>
      </w:tblPr>
      <w:tblGrid>
        <w:gridCol w:w="4739"/>
        <w:gridCol w:w="5810"/>
      </w:tblGrid>
      <w:tr>
        <w:trPr>
          <w:trHeight w:val="285" w:hRule="atLeast"/>
        </w:trPr>
        <w:tc>
          <w:tcPr>
            <w:tcW w:w="4739" w:type="dxa"/>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5810" w:type="dxa"/>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4739" w:type="dxa"/>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5810" w:type="dxa"/>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bl>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sz w:val="20"/>
          <w:szCs w:val="20"/>
        </w:rPr>
      </w:pPr>
      <w:r>
        <w:rPr>
          <w:color w:val="000000"/>
          <w:sz w:val="20"/>
          <w:szCs w:val="20"/>
        </w:rPr>
        <w:t>Приложение № 3</w:t>
      </w:r>
    </w:p>
    <w:p>
      <w:pPr>
        <w:pStyle w:val="Normal"/>
        <w:suppressAutoHyphens w:val="true"/>
        <w:ind w:left="0" w:right="0" w:firstLine="4820"/>
        <w:jc w:val="right"/>
        <w:rPr>
          <w:color w:val="000000"/>
          <w:sz w:val="20"/>
          <w:szCs w:val="20"/>
        </w:rPr>
      </w:pPr>
      <w:r>
        <w:rPr>
          <w:color w:val="000000"/>
          <w:sz w:val="20"/>
          <w:szCs w:val="20"/>
        </w:rPr>
        <w:t>к Договору поставки</w:t>
      </w:r>
    </w:p>
    <w:p>
      <w:pPr>
        <w:pStyle w:val="Normal"/>
        <w:suppressAutoHyphens w:val="true"/>
        <w:ind w:left="0" w:right="0" w:firstLine="4820"/>
        <w:jc w:val="right"/>
        <w:rPr>
          <w:color w:val="000000"/>
          <w:sz w:val="20"/>
          <w:szCs w:val="20"/>
        </w:rPr>
      </w:pPr>
      <w:r>
        <w:rPr>
          <w:color w:val="000000"/>
          <w:sz w:val="20"/>
          <w:szCs w:val="20"/>
        </w:rPr>
        <w:t xml:space="preserve">№ </w:t>
      </w:r>
      <w:r>
        <w:rPr>
          <w:color w:val="000000"/>
          <w:sz w:val="20"/>
          <w:szCs w:val="20"/>
        </w:rPr>
        <w:t xml:space="preserve">________от «____» __________ 2025 г. </w:t>
      </w:r>
    </w:p>
    <w:p>
      <w:pPr>
        <w:pStyle w:val="Normal"/>
        <w:widowControl/>
        <w:shd w:val="clear" w:fill="FFFFFF"/>
        <w:tabs>
          <w:tab w:val="clear" w:pos="708"/>
          <w:tab w:val="left" w:pos="1418" w:leader="none"/>
        </w:tabs>
        <w:spacing w:before="0" w:after="0"/>
        <w:ind w:left="0" w:right="0" w:firstLine="709"/>
        <w:contextualSpacing/>
        <w:jc w:val="center"/>
        <w:rPr>
          <w:rFonts w:ascii="Times New Roman" w:hAnsi="Times New Roman"/>
          <w:bCs/>
          <w:color w:val="auto"/>
          <w:sz w:val="20"/>
          <w:szCs w:val="20"/>
        </w:rPr>
      </w:pPr>
      <w:r>
        <w:rPr>
          <w:bCs/>
          <w:color w:val="auto"/>
          <w:sz w:val="20"/>
          <w:szCs w:val="20"/>
        </w:rPr>
      </w:r>
    </w:p>
    <w:p>
      <w:pPr>
        <w:pStyle w:val="Normal"/>
        <w:widowControl/>
        <w:tabs>
          <w:tab w:val="clear" w:pos="708"/>
          <w:tab w:val="left" w:pos="7108" w:leader="none"/>
        </w:tabs>
        <w:suppressAutoHyphens w:val="true"/>
        <w:ind w:left="0" w:right="0" w:firstLine="709"/>
        <w:rPr>
          <w:rFonts w:ascii="Times New Roman" w:hAnsi="Times New Roman" w:eastAsia="Calibri"/>
          <w:b/>
          <w:color w:val="auto"/>
          <w:sz w:val="20"/>
          <w:szCs w:val="20"/>
          <w:lang w:eastAsia="en-US"/>
        </w:rPr>
      </w:pPr>
      <w:r>
        <w:rPr>
          <w:rFonts w:eastAsia="Calibri"/>
          <w:b/>
          <w:color w:val="auto"/>
          <w:sz w:val="20"/>
          <w:szCs w:val="20"/>
          <w:lang w:eastAsia="en-US"/>
        </w:rPr>
      </w:r>
    </w:p>
    <w:p>
      <w:pPr>
        <w:pStyle w:val="Normal"/>
        <w:jc w:val="center"/>
        <w:rPr>
          <w:b/>
          <w:bCs/>
          <w:color w:val="000000"/>
          <w:sz w:val="20"/>
          <w:szCs w:val="20"/>
        </w:rPr>
      </w:pPr>
      <w:r>
        <w:rPr>
          <w:b/>
          <w:bCs/>
          <w:color w:val="000000"/>
          <w:sz w:val="20"/>
          <w:szCs w:val="20"/>
        </w:rPr>
        <w:t>Размер ответственности Поставщика за нарушения</w:t>
      </w:r>
    </w:p>
    <w:p>
      <w:pPr>
        <w:pStyle w:val="Normal"/>
        <w:jc w:val="center"/>
        <w:rPr>
          <w:b/>
          <w:bCs/>
          <w:color w:val="000000"/>
          <w:sz w:val="20"/>
          <w:szCs w:val="20"/>
        </w:rPr>
      </w:pPr>
      <w:r>
        <w:rPr>
          <w:b/>
          <w:bCs/>
          <w:color w:val="000000"/>
          <w:sz w:val="20"/>
          <w:szCs w:val="20"/>
        </w:rPr>
        <w:t>пропускного и внутриобъектового режима, требований охраны труда,</w:t>
      </w:r>
    </w:p>
    <w:p>
      <w:pPr>
        <w:pStyle w:val="Normal"/>
        <w:jc w:val="center"/>
        <w:rPr>
          <w:b/>
          <w:bCs/>
          <w:color w:val="000000"/>
          <w:sz w:val="20"/>
          <w:szCs w:val="20"/>
        </w:rPr>
      </w:pPr>
      <w:r>
        <w:rPr>
          <w:b/>
          <w:bCs/>
          <w:color w:val="000000"/>
          <w:sz w:val="20"/>
          <w:szCs w:val="20"/>
        </w:rPr>
        <w:t>пожарной и промышленной безопасности</w:t>
      </w:r>
    </w:p>
    <w:p>
      <w:pPr>
        <w:pStyle w:val="Normal"/>
        <w:rPr>
          <w:rFonts w:ascii="Liberation Serif" w:hAnsi="Liberation Serif"/>
          <w:b/>
          <w:sz w:val="24"/>
          <w:szCs w:val="24"/>
        </w:rPr>
      </w:pPr>
      <w:r>
        <w:rPr>
          <w:rFonts w:ascii="Liberation Serif" w:hAnsi="Liberation Serif"/>
          <w:b/>
          <w:sz w:val="24"/>
          <w:szCs w:val="24"/>
        </w:rPr>
      </w:r>
    </w:p>
    <w:tbl>
      <w:tblPr>
        <w:tblW w:w="5000" w:type="pct"/>
        <w:jc w:val="left"/>
        <w:tblInd w:w="221" w:type="dxa"/>
        <w:tblLayout w:type="fixed"/>
        <w:tblCellMar>
          <w:top w:w="0" w:type="dxa"/>
          <w:left w:w="103" w:type="dxa"/>
          <w:bottom w:w="0" w:type="dxa"/>
          <w:right w:w="108" w:type="dxa"/>
        </w:tblCellMar>
      </w:tblPr>
      <w:tblGrid>
        <w:gridCol w:w="4191"/>
        <w:gridCol w:w="6358"/>
      </w:tblGrid>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Liberation Serif" w:hAnsi="Liberation Serif"/>
                <w:b/>
                <w:sz w:val="24"/>
                <w:szCs w:val="24"/>
              </w:rPr>
            </w:pPr>
            <w:r>
              <w:rPr>
                <w:rFonts w:ascii="Liberation Serif" w:hAnsi="Liberation Serif"/>
                <w:b/>
                <w:sz w:val="24"/>
                <w:szCs w:val="24"/>
              </w:rPr>
              <w:t>Виды нарушений</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Liberation Serif" w:hAnsi="Liberation Serif"/>
                <w:b/>
                <w:sz w:val="24"/>
                <w:szCs w:val="24"/>
              </w:rPr>
            </w:pPr>
            <w:r>
              <w:rPr>
                <w:rFonts w:ascii="Liberation Serif" w:hAnsi="Liberation Serif"/>
                <w:b/>
                <w:sz w:val="24"/>
                <w:szCs w:val="24"/>
              </w:rPr>
              <w:t>Штрафные санкции</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 Нарушение правил пожарной безопасности (ППБ):</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1.1. Нарушение ППБ без возникновения пожара</w:t>
            </w:r>
          </w:p>
          <w:p>
            <w:pPr>
              <w:pStyle w:val="Normal"/>
              <w:widowControl w:val="false"/>
              <w:rPr>
                <w:rFonts w:ascii="Liberation Serif" w:hAnsi="Liberation Serif"/>
                <w:b/>
                <w:sz w:val="24"/>
                <w:szCs w:val="24"/>
              </w:rPr>
            </w:pPr>
            <w:r>
              <w:rPr>
                <w:rFonts w:ascii="Liberation Serif" w:hAnsi="Liberation Serif"/>
                <w:b/>
                <w:sz w:val="24"/>
                <w:szCs w:val="24"/>
              </w:rPr>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100 000 (сто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1.2. Нарушение ППБ, ставшее причиной возникновения пожара, не причинившего ущерб имуществу Покупателя</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200 000 (двести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1.3. Нарушение ППБ, ставшее причиной возникновения пожара, причинившего ущерб имуществу Покупателя.</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500 000 (пятьсот тысяч) рублей за каждый случай нарушения.</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rStyle w:val="Style19"/>
                <w:rFonts w:ascii="Liberation Serif" w:hAnsi="Liberation Serif"/>
                <w:sz w:val="24"/>
                <w:szCs w:val="24"/>
              </w:rPr>
              <w:t>2.</w:t>
            </w:r>
            <w:r>
              <w:rPr>
                <w:rStyle w:val="Style19"/>
                <w:rFonts w:ascii="Liberation Serif" w:hAnsi="Liberation Serif"/>
                <w:b/>
                <w:sz w:val="24"/>
                <w:szCs w:val="24"/>
              </w:rPr>
              <w:t xml:space="preserve"> </w:t>
            </w:r>
            <w:r>
              <w:rPr>
                <w:rStyle w:val="Style19"/>
                <w:rFonts w:ascii="Liberation Serif" w:hAnsi="Liberation Serif"/>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- 50 000 (пятьдесят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- 500 (пятьсот) рублей в случае утраты или приведения в негодность электронного пропуска, выданного Заказчиком.</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rHeight w:val="326" w:hRule="atLeast"/>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rStyle w:val="Style19"/>
                <w:rFonts w:ascii="Liberation Serif" w:hAnsi="Liberation Serif"/>
                <w:color w:val="00000A"/>
                <w:sz w:val="24"/>
                <w:szCs w:val="24"/>
              </w:rPr>
              <w:t>3. Нарушение требований охраны труда</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100 000 (сто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ind w:left="0" w:right="0" w:firstLine="709"/>
        <w:rPr>
          <w:rFonts w:ascii="Liberation Serif" w:hAnsi="Liberation Serif"/>
          <w:color w:val="auto"/>
          <w:sz w:val="24"/>
          <w:szCs w:val="24"/>
        </w:rPr>
      </w:pPr>
      <w:r>
        <w:rPr>
          <w:rFonts w:ascii="Liberation Serif" w:hAnsi="Liberation Serif"/>
          <w:color w:val="auto"/>
          <w:sz w:val="24"/>
          <w:szCs w:val="24"/>
        </w:rPr>
      </w:r>
    </w:p>
    <w:p>
      <w:pPr>
        <w:pStyle w:val="Normal"/>
        <w:ind w:left="0" w:right="0" w:firstLine="709"/>
        <w:rPr>
          <w:rFonts w:ascii="Liberation Serif" w:hAnsi="Liberation Serif"/>
          <w:color w:val="auto"/>
          <w:sz w:val="20"/>
          <w:szCs w:val="20"/>
        </w:rPr>
      </w:pPr>
      <w:r>
        <w:rPr>
          <w:rFonts w:ascii="Liberation Serif" w:hAnsi="Liberation Serif"/>
          <w:color w:val="auto"/>
          <w:sz w:val="20"/>
          <w:szCs w:val="20"/>
        </w:rPr>
      </w:r>
    </w:p>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tbl>
      <w:tblPr>
        <w:tblW w:w="5000" w:type="pct"/>
        <w:jc w:val="left"/>
        <w:tblInd w:w="60" w:type="dxa"/>
        <w:tblLayout w:type="fixed"/>
        <w:tblCellMar>
          <w:top w:w="0" w:type="dxa"/>
          <w:left w:w="30" w:type="dxa"/>
          <w:bottom w:w="0" w:type="dxa"/>
          <w:right w:w="30" w:type="dxa"/>
        </w:tblCellMar>
      </w:tblPr>
      <w:tblGrid>
        <w:gridCol w:w="4739"/>
        <w:gridCol w:w="5810"/>
      </w:tblGrid>
      <w:tr>
        <w:trPr>
          <w:trHeight w:val="285" w:hRule="atLeast"/>
        </w:trPr>
        <w:tc>
          <w:tcPr>
            <w:tcW w:w="4739" w:type="dxa"/>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5810" w:type="dxa"/>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4739" w:type="dxa"/>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5810" w:type="dxa"/>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bl>
    <w:p>
      <w:pPr>
        <w:pStyle w:val="Normal"/>
        <w:jc w:val="left"/>
        <w:rPr>
          <w:rFonts w:ascii="Times New Roman" w:hAnsi="Times New Roman"/>
          <w:sz w:val="20"/>
          <w:szCs w:val="20"/>
        </w:rPr>
      </w:pPr>
      <w:r>
        <w:rPr/>
      </w:r>
    </w:p>
    <w:sectPr>
      <w:type w:val="nextPage"/>
      <w:pgSz w:w="11906" w:h="16838"/>
      <w:pgMar w:left="850" w:right="506" w:gutter="0" w:header="0" w:top="567" w:footer="0" w:bottom="567"/>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0"/>
        <w:b/>
        <w:szCs w:val="20"/>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4897"/>
        </w:tabs>
        <w:ind w:left="4897" w:hanging="360"/>
      </w:pPr>
      <w:rPr>
        <w:rFonts w:ascii="Symbol" w:hAnsi="Symbol" w:cs="Symbol" w:hint="default"/>
        <w:sz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sz w:val="20"/>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7"/>
      <w:numFmt w:val="decimal"/>
      <w:lvlText w:val="%1."/>
      <w:lvlJc w:val="left"/>
      <w:pPr>
        <w:tabs>
          <w:tab w:val="num" w:pos="0"/>
        </w:tabs>
        <w:ind w:left="720" w:hanging="360"/>
      </w:pPr>
      <w:rPr/>
    </w:lvl>
    <w:lvl w:ilvl="1">
      <w:start w:val="1"/>
      <w:numFmt w:val="decimal"/>
      <w:lvlText w:val="%1.%2."/>
      <w:lvlJc w:val="left"/>
      <w:pPr>
        <w:tabs>
          <w:tab w:val="num" w:pos="0"/>
        </w:tabs>
        <w:ind w:left="1779" w:hanging="360"/>
      </w:pPr>
      <w:rPr>
        <w:sz w:val="20"/>
        <w:b/>
        <w:szCs w:val="20"/>
      </w:rPr>
    </w:lvl>
    <w:lvl w:ilvl="2">
      <w:start w:val="1"/>
      <w:numFmt w:val="decimal"/>
      <w:lvlText w:val="%1.%2.%3."/>
      <w:lvlJc w:val="left"/>
      <w:pPr>
        <w:tabs>
          <w:tab w:val="num" w:pos="0"/>
        </w:tabs>
        <w:ind w:left="3198" w:hanging="720"/>
      </w:pPr>
      <w:rPr/>
    </w:lvl>
    <w:lvl w:ilvl="3">
      <w:start w:val="1"/>
      <w:numFmt w:val="decimal"/>
      <w:lvlText w:val="%1.%2.%3.%4."/>
      <w:lvlJc w:val="left"/>
      <w:pPr>
        <w:tabs>
          <w:tab w:val="num" w:pos="0"/>
        </w:tabs>
        <w:ind w:left="4257" w:hanging="720"/>
      </w:pPr>
      <w:rPr/>
    </w:lvl>
    <w:lvl w:ilvl="4">
      <w:start w:val="1"/>
      <w:numFmt w:val="decimal"/>
      <w:lvlText w:val="%1.%2.%3.%4.%5."/>
      <w:lvlJc w:val="left"/>
      <w:pPr>
        <w:tabs>
          <w:tab w:val="num" w:pos="0"/>
        </w:tabs>
        <w:ind w:left="5676" w:hanging="1080"/>
      </w:pPr>
      <w:rPr/>
    </w:lvl>
    <w:lvl w:ilvl="5">
      <w:start w:val="1"/>
      <w:numFmt w:val="decimal"/>
      <w:lvlText w:val="%1.%2.%3.%4.%5.%6."/>
      <w:lvlJc w:val="left"/>
      <w:pPr>
        <w:tabs>
          <w:tab w:val="num" w:pos="0"/>
        </w:tabs>
        <w:ind w:left="6735" w:hanging="1080"/>
      </w:pPr>
      <w:rPr/>
    </w:lvl>
    <w:lvl w:ilvl="6">
      <w:start w:val="1"/>
      <w:numFmt w:val="decimal"/>
      <w:lvlText w:val="%1.%2.%3.%4.%5.%6.%7."/>
      <w:lvlJc w:val="left"/>
      <w:pPr>
        <w:tabs>
          <w:tab w:val="num" w:pos="0"/>
        </w:tabs>
        <w:ind w:left="8154" w:hanging="1440"/>
      </w:pPr>
      <w:rPr/>
    </w:lvl>
    <w:lvl w:ilvl="7">
      <w:start w:val="1"/>
      <w:numFmt w:val="decimal"/>
      <w:lvlText w:val="%1.%2.%3.%4.%5.%6.%7.%8."/>
      <w:lvlJc w:val="left"/>
      <w:pPr>
        <w:tabs>
          <w:tab w:val="num" w:pos="0"/>
        </w:tabs>
        <w:ind w:left="9213" w:hanging="1440"/>
      </w:pPr>
      <w:rPr/>
    </w:lvl>
    <w:lvl w:ilvl="8">
      <w:start w:val="1"/>
      <w:numFmt w:val="decimal"/>
      <w:lvlText w:val="%1.%2.%3.%4.%5.%6.%7.%8.%9."/>
      <w:lvlJc w:val="left"/>
      <w:pPr>
        <w:tabs>
          <w:tab w:val="num" w:pos="0"/>
        </w:tabs>
        <w:ind w:left="10632" w:hanging="1800"/>
      </w:pPr>
      <w:rPr/>
    </w:lvl>
  </w:abstractNum>
  <w:abstractNum w:abstractNumId="11">
    <w:lvl w:ilvl="0">
      <w:start w:val="1"/>
      <w:numFmt w:val="bullet"/>
      <w:lvlText w:val="–"/>
      <w:lvlJc w:val="left"/>
      <w:pPr>
        <w:tabs>
          <w:tab w:val="num" w:pos="0"/>
        </w:tabs>
        <w:ind w:left="0" w:hanging="360"/>
      </w:pPr>
      <w:rPr>
        <w:rFonts w:ascii="Times New Roman" w:hAnsi="Times New Roman" w:cs="Times New Roman" w:hint="default"/>
        <w:dstrike w:val="false"/>
        <w:strike w:val="false"/>
        <w:vertAlign w:val="baseline"/>
        <w:position w:val="0"/>
        <w:sz w:val="20"/>
        <w:sz w:val="20"/>
        <w:i w:val="false"/>
        <w:u w:val="none"/>
        <w:b w:val="false"/>
        <w:szCs w:val="28"/>
        <w:highlight w:val="white"/>
        <w:color w:val="000000"/>
      </w:rPr>
    </w:lvl>
    <w:lvl w:ilvl="1">
      <w:start w:val="1"/>
      <w:numFmt w:val="bullet"/>
      <w:lvlText w:val="o"/>
      <w:lvlJc w:val="left"/>
      <w:pPr>
        <w:tabs>
          <w:tab w:val="num" w:pos="0"/>
        </w:tabs>
        <w:ind w:left="17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2">
      <w:start w:val="1"/>
      <w:numFmt w:val="bullet"/>
      <w:lvlText w:val="▪"/>
      <w:lvlJc w:val="left"/>
      <w:pPr>
        <w:tabs>
          <w:tab w:val="num" w:pos="0"/>
        </w:tabs>
        <w:ind w:left="25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3">
      <w:start w:val="1"/>
      <w:numFmt w:val="bullet"/>
      <w:lvlText w:val="•"/>
      <w:lvlJc w:val="left"/>
      <w:pPr>
        <w:tabs>
          <w:tab w:val="num" w:pos="0"/>
        </w:tabs>
        <w:ind w:left="32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4">
      <w:start w:val="1"/>
      <w:numFmt w:val="bullet"/>
      <w:lvlText w:val="o"/>
      <w:lvlJc w:val="left"/>
      <w:pPr>
        <w:tabs>
          <w:tab w:val="num" w:pos="0"/>
        </w:tabs>
        <w:ind w:left="394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5">
      <w:start w:val="1"/>
      <w:numFmt w:val="bullet"/>
      <w:lvlText w:val="▪"/>
      <w:lvlJc w:val="left"/>
      <w:pPr>
        <w:tabs>
          <w:tab w:val="num" w:pos="0"/>
        </w:tabs>
        <w:ind w:left="466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6">
      <w:start w:val="1"/>
      <w:numFmt w:val="bullet"/>
      <w:lvlText w:val="•"/>
      <w:lvlJc w:val="left"/>
      <w:pPr>
        <w:tabs>
          <w:tab w:val="num" w:pos="0"/>
        </w:tabs>
        <w:ind w:left="53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7">
      <w:start w:val="1"/>
      <w:numFmt w:val="bullet"/>
      <w:lvlText w:val="o"/>
      <w:lvlJc w:val="left"/>
      <w:pPr>
        <w:tabs>
          <w:tab w:val="num" w:pos="0"/>
        </w:tabs>
        <w:ind w:left="61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8">
      <w:start w:val="1"/>
      <w:numFmt w:val="bullet"/>
      <w:lvlText w:val="▪"/>
      <w:lvlJc w:val="left"/>
      <w:pPr>
        <w:tabs>
          <w:tab w:val="num" w:pos="0"/>
        </w:tabs>
        <w:ind w:left="68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1"/>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ing1">
    <w:name w:val="Heading 1"/>
    <w:basedOn w:val="Normal"/>
    <w:qFormat/>
    <w:pPr>
      <w:keepNext w:val="true"/>
      <w:spacing w:before="240" w:after="60"/>
      <w:outlineLvl w:val="0"/>
    </w:pPr>
    <w:rPr>
      <w:rFonts w:ascii="Arial" w:hAnsi="Arial" w:cs="Arial"/>
      <w:b/>
      <w:bCs/>
      <w:sz w:val="32"/>
      <w:szCs w:val="32"/>
    </w:rPr>
  </w:style>
  <w:style w:type="paragraph" w:styleId="Heading3">
    <w:name w:val="Heading 3"/>
    <w:basedOn w:val="Normal"/>
    <w:qFormat/>
    <w:pPr>
      <w:keepNext w:val="true"/>
      <w:keepLines/>
      <w:spacing w:before="200" w:after="0"/>
      <w:outlineLvl w:val="2"/>
    </w:pPr>
    <w:rPr>
      <w:rFonts w:ascii="Cambria" w:hAnsi="Cambria"/>
      <w:b/>
      <w:bCs/>
      <w:color w:val="4F81BD"/>
      <w:lang w:val="x-none" w:eastAsia="x-none"/>
    </w:rPr>
  </w:style>
  <w:style w:type="paragraph" w:styleId="Heading8">
    <w:name w:val="Heading 8"/>
    <w:basedOn w:val="Normal"/>
    <w:qFormat/>
    <w:pPr>
      <w:keepNext w:val="true"/>
      <w:widowControl/>
      <w:outlineLvl w:val="7"/>
    </w:pPr>
    <w:rPr>
      <w:b/>
      <w:bCs/>
      <w:i/>
      <w:iCs/>
      <w:sz w:val="22"/>
      <w:szCs w:val="22"/>
    </w:rPr>
  </w:style>
  <w:style w:type="character" w:styleId="DefaultParagraphFont">
    <w:name w:val="Default Paragraph Font"/>
    <w:qFormat/>
    <w:rPr/>
  </w:style>
  <w:style w:type="character" w:styleId="Style6">
    <w:name w:val="Заголовок Знак"/>
    <w:qFormat/>
    <w:rPr>
      <w:b/>
      <w:bCs/>
      <w:sz w:val="24"/>
      <w:szCs w:val="24"/>
      <w:lang w:val="ru-RU" w:eastAsia="ru-RU" w:bidi="ar-SA"/>
    </w:rPr>
  </w:style>
  <w:style w:type="character" w:styleId="Style7">
    <w:name w:val="Основной текст Знак"/>
    <w:qFormat/>
    <w:rPr>
      <w:lang w:val="ru-RU" w:eastAsia="ru-RU" w:bidi="ar-SA"/>
    </w:rPr>
  </w:style>
  <w:style w:type="character" w:styleId="Pagenumber">
    <w:name w:val="page number"/>
    <w:basedOn w:val="DefaultParagraphFont"/>
    <w:qFormat/>
    <w:rPr/>
  </w:style>
  <w:style w:type="character" w:styleId="3">
    <w:name w:val="Основной текст 3 Знак"/>
    <w:qFormat/>
    <w:rPr>
      <w:sz w:val="16"/>
      <w:szCs w:val="16"/>
    </w:rPr>
  </w:style>
  <w:style w:type="character" w:styleId="Annotationreference">
    <w:name w:val="annotation reference"/>
    <w:qFormat/>
    <w:rPr>
      <w:sz w:val="16"/>
      <w:szCs w:val="16"/>
    </w:rPr>
  </w:style>
  <w:style w:type="character" w:styleId="Style8">
    <w:name w:val="Текст примечания Знак"/>
    <w:basedOn w:val="DefaultParagraphFont"/>
    <w:qFormat/>
    <w:rPr/>
  </w:style>
  <w:style w:type="character" w:styleId="Style9">
    <w:name w:val="Тема примечания Знак"/>
    <w:qFormat/>
    <w:rPr>
      <w:b/>
      <w:bCs/>
    </w:rPr>
  </w:style>
  <w:style w:type="character" w:styleId="31">
    <w:name w:val="Заголовок 3 Знак"/>
    <w:qFormat/>
    <w:rPr>
      <w:rFonts w:ascii="Cambria" w:hAnsi="Cambria" w:eastAsia="Times New Roman" w:cs="Times New Roman"/>
      <w:b/>
      <w:bCs/>
      <w:color w:val="4F81BD"/>
    </w:rPr>
  </w:style>
  <w:style w:type="character" w:styleId="Style10">
    <w:name w:val="Основной текст с отступом Знак"/>
    <w:basedOn w:val="DefaultParagraphFont"/>
    <w:qFormat/>
    <w:rPr/>
  </w:style>
  <w:style w:type="character" w:styleId="Style11">
    <w:name w:val="комментарий"/>
    <w:qFormat/>
    <w:rPr>
      <w:rFonts w:cs="Times New Roman"/>
      <w:i/>
      <w:iCs/>
    </w:rPr>
  </w:style>
  <w:style w:type="character" w:styleId="Style12">
    <w:name w:val="Текст сноски Знак"/>
    <w:basedOn w:val="DefaultParagraph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Hyperlink">
    <w:name w:val="Hyperlink"/>
    <w:rPr>
      <w:color w:val="0000FF"/>
      <w:u w:val="single"/>
    </w:rPr>
  </w:style>
  <w:style w:type="character" w:styleId="Style15">
    <w:name w:val="Нижний колонтитул Знак"/>
    <w:qFormat/>
    <w:rPr/>
  </w:style>
  <w:style w:type="character" w:styleId="Style16">
    <w:name w:val="Название Знак"/>
    <w:qFormat/>
    <w:rPr>
      <w:b/>
      <w:bCs/>
      <w:sz w:val="24"/>
      <w:szCs w:val="24"/>
    </w:rPr>
  </w:style>
  <w:style w:type="character" w:styleId="Style17">
    <w:name w:val="Абзац списка Знак"/>
    <w:qFormat/>
    <w:rPr/>
  </w:style>
  <w:style w:type="character" w:styleId="Doctitleimportant">
    <w:name w:val="doc__title_important"/>
    <w:basedOn w:val="DefaultParagraphFont"/>
    <w:qFormat/>
    <w:rPr/>
  </w:style>
  <w:style w:type="character" w:styleId="32">
    <w:name w:val="Основной текст с отступом 3 Знак"/>
    <w:basedOn w:val="DefaultParagraphFont"/>
    <w:qFormat/>
    <w:rPr>
      <w:sz w:val="16"/>
      <w:szCs w:val="16"/>
    </w:rPr>
  </w:style>
  <w:style w:type="character" w:styleId="Style18">
    <w:name w:val="Символ нумерации"/>
    <w:qFormat/>
    <w:rPr/>
  </w:style>
  <w:style w:type="character" w:styleId="Style19">
    <w:name w:val="Основной шрифт абзаца"/>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qFormat/>
    <w:pPr>
      <w:jc w:val="center"/>
    </w:pPr>
    <w:rPr>
      <w:b/>
      <w:bCs/>
      <w:sz w:val="24"/>
      <w:szCs w:val="24"/>
    </w:rPr>
  </w:style>
  <w:style w:type="paragraph" w:styleId="Style22">
    <w:name w:val="Таблицы (моноширинный)"/>
    <w:basedOn w:val="Normal"/>
    <w:qFormat/>
    <w:pPr>
      <w:jc w:val="both"/>
    </w:pPr>
    <w:rPr>
      <w:rFonts w:ascii="Courier New" w:hAnsi="Courier New" w:cs="Courier New"/>
    </w:rPr>
  </w:style>
  <w:style w:type="paragraph" w:styleId="BodyTextIndent2">
    <w:name w:val="Body Text Indent 2"/>
    <w:basedOn w:val="Normal"/>
    <w:qFormat/>
    <w:pPr>
      <w:ind w:left="1843" w:right="0" w:hanging="0"/>
      <w:jc w:val="both"/>
    </w:pPr>
    <w:rPr>
      <w:sz w:val="24"/>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pPr>
      <w:tabs>
        <w:tab w:val="clear" w:pos="708"/>
        <w:tab w:val="center" w:pos="4677" w:leader="none"/>
        <w:tab w:val="right" w:pos="9355" w:leader="none"/>
      </w:tabs>
    </w:pPr>
    <w:rPr/>
  </w:style>
  <w:style w:type="paragraph" w:styleId="BodyText3">
    <w:name w:val="Body Text 3"/>
    <w:basedOn w:val="Normal"/>
    <w:qFormat/>
    <w:pPr>
      <w:spacing w:before="0" w:after="120"/>
    </w:pPr>
    <w:rPr>
      <w:sz w:val="16"/>
      <w:szCs w:val="16"/>
      <w:lang w:val="x-none" w:eastAsia="x-none"/>
    </w:rPr>
  </w:style>
  <w:style w:type="paragraph" w:styleId="Annotationtext">
    <w:name w:val="annotation text"/>
    <w:basedOn w:val="Normal"/>
    <w:qFormat/>
    <w:pPr/>
    <w:rPr/>
  </w:style>
  <w:style w:type="paragraph" w:styleId="Annotationsubject">
    <w:name w:val="annotation subject"/>
    <w:basedOn w:val="Annotationtext"/>
    <w:qFormat/>
    <w:pPr/>
    <w:rPr>
      <w:b/>
      <w:bCs/>
      <w:lang w:val="x-none" w:eastAsia="x-none"/>
    </w:rPr>
  </w:style>
  <w:style w:type="paragraph" w:styleId="ListParagraph">
    <w:name w:val="List Paragraph"/>
    <w:basedOn w:val="Normal"/>
    <w:qFormat/>
    <w:pPr>
      <w:spacing w:before="0" w:after="0"/>
      <w:ind w:left="720" w:right="0" w:hanging="0"/>
      <w:contextualSpacing/>
    </w:pPr>
    <w:rPr/>
  </w:style>
  <w:style w:type="paragraph" w:styleId="Style24">
    <w:name w:val="Знак Знак Знак Знак Знак Знак Знак Знак Знак"/>
    <w:basedOn w:val="Normal"/>
    <w:qFormat/>
    <w:pPr>
      <w:widowControl/>
      <w:spacing w:lineRule="exact" w:line="240" w:before="0" w:after="160"/>
      <w:jc w:val="both"/>
    </w:pPr>
    <w:rPr>
      <w:rFonts w:ascii="Verdana" w:hAnsi="Verdana"/>
      <w:sz w:val="22"/>
      <w:lang w:val="en-US" w:eastAsia="en-US"/>
    </w:rPr>
  </w:style>
  <w:style w:type="paragraph" w:styleId="Style25">
    <w:name w:val="Подпункт договора"/>
    <w:basedOn w:val="Normal"/>
    <w:qFormat/>
    <w:pPr>
      <w:widowControl/>
      <w:tabs>
        <w:tab w:val="clear" w:pos="708"/>
        <w:tab w:val="left" w:pos="360" w:leader="none"/>
      </w:tabs>
      <w:jc w:val="both"/>
    </w:pPr>
    <w:rPr>
      <w:rFonts w:ascii="Arial" w:hAnsi="Arial"/>
    </w:rPr>
  </w:style>
  <w:style w:type="paragraph" w:styleId="ConsNormal">
    <w:name w:val="ConsNormal"/>
    <w:qFormat/>
    <w:pPr>
      <w:widowControl/>
      <w:suppressAutoHyphens w:val="true"/>
      <w:overflowPunct w:val="true"/>
      <w:bidi w:val="0"/>
      <w:spacing w:before="0" w:after="0"/>
      <w:ind w:left="0" w:right="19772" w:firstLine="720"/>
      <w:jc w:val="left"/>
    </w:pPr>
    <w:rPr>
      <w:rFonts w:ascii="Arial" w:hAnsi="Arial" w:eastAsia="Times New Roman" w:cs="Times New Roman"/>
      <w:color w:val="00000A"/>
      <w:kern w:val="0"/>
      <w:sz w:val="32"/>
      <w:szCs w:val="20"/>
      <w:lang w:val="ru-RU" w:eastAsia="en-US" w:bidi="ar-SA"/>
    </w:rPr>
  </w:style>
  <w:style w:type="paragraph" w:styleId="BodyTextIndent">
    <w:name w:val="Body Text Indent"/>
    <w:basedOn w:val="Normal"/>
    <w:pPr>
      <w:spacing w:before="0" w:after="120"/>
      <w:ind w:left="283" w:right="0" w:hanging="0"/>
    </w:pPr>
    <w:rPr/>
  </w:style>
  <w:style w:type="paragraph" w:styleId="Style26">
    <w:name w:val="Знак"/>
    <w:basedOn w:val="Normal"/>
    <w:qFormat/>
    <w:pPr>
      <w:widowControl/>
      <w:spacing w:lineRule="exact" w:line="240" w:before="0" w:after="160"/>
    </w:pPr>
    <w:rPr>
      <w:rFonts w:ascii="Verdana" w:hAnsi="Verdana" w:cs="Verdana"/>
      <w:lang w:val="en-US" w:eastAsia="en-US"/>
    </w:rPr>
  </w:style>
  <w:style w:type="paragraph" w:styleId="FootnoteText">
    <w:name w:val="Footnote Text"/>
    <w:basedOn w:val="Normal"/>
    <w:pPr/>
    <w:rPr/>
  </w:style>
  <w:style w:type="paragraph" w:styleId="ListBullet3">
    <w:name w:val="List Bullet 3"/>
    <w:basedOn w:val="Normal"/>
    <w:qFormat/>
    <w:pPr>
      <w:widowControl/>
      <w:tabs>
        <w:tab w:val="clear" w:pos="708"/>
        <w:tab w:val="left" w:pos="1418" w:leader="none"/>
      </w:tabs>
      <w:spacing w:lineRule="auto" w:line="360" w:before="120" w:after="0"/>
      <w:ind w:left="0" w:right="0" w:firstLine="720"/>
      <w:jc w:val="both"/>
    </w:pPr>
    <w:rPr>
      <w:rFonts w:eastAsia="Calibri"/>
      <w:i/>
      <w:iCs/>
      <w:sz w:val="24"/>
      <w:szCs w:val="24"/>
    </w:rPr>
  </w:style>
  <w:style w:type="paragraph" w:styleId="-">
    <w:name w:val="Контракт-пункт"/>
    <w:basedOn w:val="Normal"/>
    <w:qFormat/>
    <w:pPr>
      <w:widowControl/>
      <w:tabs>
        <w:tab w:val="clear" w:pos="708"/>
        <w:tab w:val="left" w:pos="851" w:leader="none"/>
      </w:tabs>
      <w:spacing w:lineRule="auto" w:line="360"/>
      <w:ind w:left="851" w:right="0" w:hanging="851"/>
      <w:jc w:val="both"/>
    </w:pPr>
    <w:rPr>
      <w:rFonts w:eastAsia="Calibri"/>
      <w:sz w:val="28"/>
      <w:szCs w:val="28"/>
    </w:rPr>
  </w:style>
  <w:style w:type="paragraph" w:styleId="DocumentMap">
    <w:name w:val="Document Map"/>
    <w:basedOn w:val="Normal"/>
    <w:qFormat/>
    <w:pPr>
      <w:shd w:val="clear" w:fill="000080"/>
    </w:pPr>
    <w:rPr>
      <w:rFonts w:ascii="Tahoma" w:hAnsi="Tahoma" w:cs="Tahoma"/>
    </w:rPr>
  </w:style>
  <w:style w:type="paragraph" w:styleId="Revision">
    <w:name w:val="Revision"/>
    <w:qFormat/>
    <w:pPr>
      <w:widowControl/>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er">
    <w:name w:val="Header"/>
    <w:basedOn w:val="Normal"/>
    <w:pPr>
      <w:tabs>
        <w:tab w:val="clear" w:pos="708"/>
        <w:tab w:val="center" w:pos="4677" w:leader="none"/>
        <w:tab w:val="right" w:pos="9355" w:leader="none"/>
      </w:tabs>
    </w:pPr>
    <w:rPr/>
  </w:style>
  <w:style w:type="paragraph" w:styleId="Style27">
    <w:name w:val="Пункт договора"/>
    <w:basedOn w:val="Normal"/>
    <w:qFormat/>
    <w:pPr>
      <w:jc w:val="both"/>
    </w:pPr>
    <w:rPr>
      <w:rFonts w:ascii="Arial" w:hAnsi="Arial"/>
    </w:rPr>
  </w:style>
  <w:style w:type="paragraph" w:styleId="1">
    <w:name w:val="Знак Знак Знак Знак Знак Знак Знак Знак Знак1"/>
    <w:basedOn w:val="Normal"/>
    <w:qFormat/>
    <w:pPr>
      <w:widowControl/>
      <w:spacing w:lineRule="exact" w:line="240" w:before="0" w:after="160"/>
      <w:jc w:val="both"/>
    </w:pPr>
    <w:rPr>
      <w:rFonts w:ascii="Verdana" w:hAnsi="Verdana"/>
      <w:sz w:val="22"/>
      <w:lang w:val="en-US" w:eastAsia="en-US"/>
    </w:rPr>
  </w:style>
  <w:style w:type="paragraph" w:styleId="11">
    <w:name w:val="Обычный1"/>
    <w:qFormat/>
    <w:pPr>
      <w:widowControl/>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ConsPlusNormal">
    <w:name w:val="ConsPlusNormal"/>
    <w:qFormat/>
    <w:pPr>
      <w:widowControl w:val="false"/>
      <w:suppressAutoHyphens w:val="true"/>
      <w:overflowPunct w:val="true"/>
      <w:bidi w:val="0"/>
      <w:spacing w:before="0" w:after="0"/>
      <w:jc w:val="left"/>
    </w:pPr>
    <w:rPr>
      <w:rFonts w:ascii="Calibri" w:hAnsi="Calibri" w:eastAsia="Times New Roman" w:cs="Calibri"/>
      <w:color w:val="00000A"/>
      <w:kern w:val="0"/>
      <w:sz w:val="22"/>
      <w:szCs w:val="20"/>
      <w:lang w:val="ru-RU" w:eastAsia="ru-RU" w:bidi="ar-SA"/>
    </w:rPr>
  </w:style>
  <w:style w:type="paragraph" w:styleId="NormalWeb">
    <w:name w:val="Normal (Web)"/>
    <w:basedOn w:val="Normal"/>
    <w:qFormat/>
    <w:pPr>
      <w:widowControl/>
      <w:spacing w:before="280" w:after="280"/>
    </w:pPr>
    <w:rPr>
      <w:sz w:val="24"/>
      <w:szCs w:val="24"/>
    </w:rPr>
  </w:style>
  <w:style w:type="paragraph" w:styleId="BodyTextIndent3">
    <w:name w:val="Body Text Indent 3"/>
    <w:basedOn w:val="Normal"/>
    <w:qFormat/>
    <w:pPr>
      <w:spacing w:before="0" w:after="120"/>
      <w:ind w:left="283" w:right="0" w:hanging="0"/>
    </w:pPr>
    <w:rPr>
      <w:sz w:val="16"/>
      <w:szCs w:val="16"/>
    </w:rPr>
  </w:style>
  <w:style w:type="paragraph" w:styleId="BlockText">
    <w:name w:val="Block Text"/>
    <w:basedOn w:val="Normal"/>
    <w:qFormat/>
    <w:pPr>
      <w:ind w:left="-108" w:right="-108" w:hanging="0"/>
      <w:jc w:val="center"/>
    </w:pPr>
    <w:rPr/>
  </w:style>
  <w:style w:type="paragraph" w:styleId="Style28">
    <w:name w:val="Содержимое таблицы"/>
    <w:basedOn w:val="Normal"/>
    <w:qFormat/>
    <w:pPr/>
    <w:rPr/>
  </w:style>
  <w:style w:type="paragraph" w:styleId="Style29">
    <w:name w:val="Заголовок таблицы"/>
    <w:basedOn w:val="Style28"/>
    <w:qFormat/>
    <w:pPr>
      <w:suppressLineNumbers/>
      <w:jc w:val="center"/>
    </w:pPr>
    <w:rPr>
      <w:b/>
      <w:bCs/>
    </w:rPr>
  </w:style>
  <w:style w:type="paragraph" w:styleId="Style30">
    <w:name w:val="Таблица шапка"/>
    <w:basedOn w:val="Normal"/>
    <w:qFormat/>
    <w:pPr>
      <w:keepNext w:val="true"/>
      <w:widowControl/>
      <w:suppressAutoHyphens w:val="true"/>
      <w:spacing w:lineRule="atLeast" w:line="100" w:before="40" w:after="40"/>
      <w:ind w:left="57" w:right="57" w:hanging="0"/>
    </w:pPr>
    <w:rPr>
      <w:sz w:val="22"/>
      <w:lang w:eastAsia="zh-CN"/>
    </w:rPr>
  </w:style>
  <w:style w:type="paragraph" w:styleId="Standard">
    <w:name w:val="Standard"/>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4"/>
      <w:lang w:val="ru-RU" w:eastAsia="zh-CN" w:bidi="ar-SA"/>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0"/>
      <w:szCs w:val="20"/>
      <w:lang w:val="ru-RU" w:eastAsia="ru-RU" w:bidi="ar-SA"/>
    </w:rPr>
  </w:style>
  <w:style w:type="paragraph" w:styleId="Style31">
    <w:name w:val="Таблица текст"/>
    <w:basedOn w:val="Standard"/>
    <w:qFormat/>
    <w:pPr>
      <w:spacing w:before="40" w:after="40"/>
      <w:ind w:left="57" w:right="57" w:hanging="0"/>
    </w:pPr>
    <w:rPr>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643</TotalTime>
  <Application>AlterOffice/3.4.0.6$Linux_X86_64 LibreOffice_project/ad8c41dce69105450bf791d4900d64b1f82e10d0</Application>
  <AppVersion>15.0000</AppVersion>
  <Pages>12</Pages>
  <Words>6580</Words>
  <Characters>46790</Characters>
  <CharactersWithSpaces>53125</CharactersWithSpaces>
  <Paragraphs>307</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2023-04-17T06:08:00Z</dcterms:created>
  <dc:creator>tsypilev_ag</dc:creator>
  <dc:description/>
  <dc:language>ru-RU</dc:language>
  <cp:lastModifiedBy>tyapkin_sg</cp:lastModifiedBy>
  <cp:lastPrinted>2025-11-27T08:30:10Z</cp:lastPrinted>
  <dcterms:modified xsi:type="dcterms:W3CDTF">2026-05-14T14:09:04Z</dcterms:modified>
  <cp:revision>134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