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53" w:rsidRDefault="00916253">
      <w:pPr>
        <w:jc w:val="right"/>
        <w:rPr>
          <w:sz w:val="24"/>
          <w:szCs w:val="24"/>
        </w:rPr>
      </w:pPr>
    </w:p>
    <w:p w:rsidR="00916253" w:rsidRDefault="00916253">
      <w:pPr>
        <w:keepNext/>
        <w:keepLines/>
        <w:jc w:val="right"/>
        <w:rPr>
          <w:bCs/>
          <w:sz w:val="24"/>
          <w:szCs w:val="24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7D6007" w:rsidRDefault="007D600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D6007" w:rsidRDefault="007D600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D6007" w:rsidRDefault="007D6007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9162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16253" w:rsidRDefault="00E215E5">
      <w:pPr>
        <w:keepNext/>
        <w:keepLines/>
        <w:jc w:val="center"/>
        <w:rPr>
          <w:sz w:val="24"/>
          <w:szCs w:val="24"/>
        </w:rPr>
      </w:pPr>
      <w:bookmarkStart w:id="3" w:name="_Toc1416967041"/>
      <w:bookmarkStart w:id="4" w:name="_Toc1375545841"/>
      <w:bookmarkStart w:id="5" w:name="_Toc1398562871"/>
      <w:bookmarkEnd w:id="3"/>
      <w:bookmarkEnd w:id="4"/>
      <w:bookmarkEnd w:id="5"/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916253" w:rsidRDefault="00E215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«ОКПД2 71.20.12 Химический анализ масла для нужд филиала ПАО "РусГидро"-"Воткинская ГЭС"»</w:t>
      </w:r>
    </w:p>
    <w:p w:rsidR="00916253" w:rsidRDefault="00E215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(Лот 6-ЭКСП-БПД-2026-ВотГЭС)</w:t>
      </w:r>
    </w:p>
    <w:p w:rsidR="00916253" w:rsidRDefault="00E215E5">
      <w:pPr>
        <w:jc w:val="center"/>
        <w:rPr>
          <w:rFonts w:eastAsia="Calibri"/>
          <w:b/>
          <w:sz w:val="26"/>
          <w:szCs w:val="26"/>
        </w:rPr>
      </w:pPr>
      <w:r>
        <w:br w:type="page"/>
      </w:r>
    </w:p>
    <w:p w:rsidR="00916253" w:rsidRDefault="00E215E5">
      <w:pPr>
        <w:jc w:val="center"/>
      </w:pPr>
      <w:r>
        <w:rPr>
          <w:b/>
        </w:rPr>
        <w:lastRenderedPageBreak/>
        <w:t>СОДЕРЖАНИЕ</w:t>
      </w:r>
    </w:p>
    <w:sdt>
      <w:sdtPr>
        <w:rPr>
          <w:rFonts w:cs="Calibri"/>
          <w:b w:val="0"/>
          <w:bCs w:val="0"/>
          <w:sz w:val="20"/>
          <w:szCs w:val="20"/>
        </w:rPr>
        <w:id w:val="160668503"/>
        <w:docPartObj>
          <w:docPartGallery w:val="Table of Contents"/>
          <w:docPartUnique/>
        </w:docPartObj>
      </w:sdtPr>
      <w:sdtEndPr/>
      <w:sdtContent>
        <w:p w:rsidR="00916253" w:rsidRDefault="00E215E5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6"/>
              <w:rFonts w:eastAsia="Calibri"/>
            </w:rPr>
            <w:instrText xml:space="preserve"> TOC \o "1-4" \h</w:instrText>
          </w:r>
          <w:r>
            <w:rPr>
              <w:rStyle w:val="aff6"/>
              <w:rFonts w:eastAsia="Calibri"/>
            </w:rPr>
            <w:fldChar w:fldCharType="separate"/>
          </w:r>
          <w:hyperlink w:anchor="_Toc126309964">
            <w:r>
              <w:rPr>
                <w:rStyle w:val="aff6"/>
                <w:rFonts w:eastAsia="Calibri"/>
              </w:rPr>
              <w:t>1</w:t>
            </w:r>
          </w:hyperlink>
          <w:r>
            <w:rPr>
              <w:rFonts w:eastAsia="Calibri"/>
            </w:rPr>
            <w:t xml:space="preserve">. </w:t>
          </w:r>
          <w:hyperlink w:anchor="_Toc126309964">
            <w:r>
              <w:rPr>
                <w:rStyle w:val="aff6"/>
                <w:rFonts w:eastAsia="Calibri"/>
              </w:rPr>
              <w:t>Общие сведения</w:t>
            </w:r>
          </w:hyperlink>
          <w:hyperlink w:anchor="_Toc12630996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eastAsia="Calibri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41"/>
          </w:pPr>
          <w:hyperlink w:anchor="_Toc126309965">
            <w:r w:rsidR="00E215E5">
              <w:rPr>
                <w:rStyle w:val="aff6"/>
                <w:rFonts w:eastAsia="Calibri"/>
                <w:iCs/>
              </w:rPr>
              <w:t>1.1.</w:t>
            </w:r>
          </w:hyperlink>
          <w:hyperlink w:anchor="_Toc126309965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_Toc126309965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65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_Toc126309965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</w:rPr>
              <w:t>Обозначения и сокращения</w:t>
            </w:r>
            <w:r w:rsidR="00E215E5">
              <w:rPr>
                <w:webHidden/>
              </w:rPr>
              <w:fldChar w:fldCharType="end"/>
            </w:r>
          </w:hyperlink>
          <w:hyperlink w:anchor="_Toc126309965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_Toc126309965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  <w:t>3</w:t>
            </w:r>
            <w:r w:rsidR="00E215E5"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41"/>
          </w:pPr>
          <w:hyperlink w:anchor="_Toc126309966">
            <w:r w:rsidR="00E215E5">
              <w:rPr>
                <w:rStyle w:val="aff6"/>
                <w:rFonts w:eastAsia="Calibri"/>
                <w:iCs/>
              </w:rPr>
              <w:t>1.2.</w:t>
            </w:r>
          </w:hyperlink>
          <w:hyperlink w:anchor="_Toc126309966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_Toc126309966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66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_Toc126309966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</w:rPr>
              <w:t>Наименование закупаемой продукции</w:t>
            </w:r>
            <w:r w:rsidR="00E215E5">
              <w:rPr>
                <w:webHidden/>
              </w:rPr>
              <w:fldChar w:fldCharType="end"/>
            </w:r>
          </w:hyperlink>
          <w:hyperlink w:anchor="_Toc126309966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_Toc126309966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  <w:t>4</w:t>
            </w:r>
            <w:r w:rsidR="00E215E5"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41"/>
          </w:pPr>
          <w:hyperlink w:anchor="_Toc126309967">
            <w:r w:rsidR="00E215E5">
              <w:rPr>
                <w:rStyle w:val="aff6"/>
                <w:rFonts w:eastAsia="Calibri"/>
                <w:iCs/>
              </w:rPr>
              <w:t>1.3.</w:t>
            </w:r>
          </w:hyperlink>
          <w:hyperlink w:anchor="_Toc126309967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_Toc126309967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67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_Toc126309967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</w:rPr>
              <w:t>Цель оказания услуг</w:t>
            </w:r>
            <w:r w:rsidR="00E215E5">
              <w:rPr>
                <w:webHidden/>
              </w:rPr>
              <w:fldChar w:fldCharType="end"/>
            </w:r>
          </w:hyperlink>
          <w:hyperlink w:anchor="_Toc126309967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_Toc126309967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  <w:t>4</w:t>
            </w:r>
            <w:r w:rsidR="00E215E5"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41"/>
          </w:pPr>
          <w:hyperlink w:anchor="_Toc126309968">
            <w:r w:rsidR="00E215E5">
              <w:rPr>
                <w:rStyle w:val="aff6"/>
                <w:rFonts w:eastAsia="Calibri"/>
                <w:iCs/>
              </w:rPr>
              <w:t>1.4.</w:t>
            </w:r>
          </w:hyperlink>
          <w:hyperlink w:anchor="_Toc126309968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_Toc126309968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68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_Toc126309968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</w:rPr>
              <w:t>Существующее положение</w:t>
            </w:r>
            <w:r w:rsidR="00E215E5">
              <w:rPr>
                <w:webHidden/>
              </w:rPr>
              <w:fldChar w:fldCharType="end"/>
            </w:r>
          </w:hyperlink>
          <w:hyperlink w:anchor="_Toc126309968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_Toc126309968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  <w:t>4</w:t>
            </w:r>
            <w:r w:rsidR="00E215E5"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18"/>
            <w:tabs>
              <w:tab w:val="left" w:pos="560"/>
              <w:tab w:val="right" w:leader="dot" w:pos="9911"/>
            </w:tabs>
          </w:pPr>
          <w:hyperlink w:anchor="_Toc126309970">
            <w:r w:rsidR="00E215E5">
              <w:rPr>
                <w:rStyle w:val="aff6"/>
                <w:rFonts w:eastAsia="Calibri"/>
              </w:rPr>
              <w:t>2.</w:t>
            </w:r>
          </w:hyperlink>
          <w:hyperlink w:anchor="_Toc126309970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_Toc126309970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b w:val="0"/>
                <w:bCs w:val="0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70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_Toc126309970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  <w:iCs/>
              </w:rPr>
              <w:t>Требования к продукции</w:t>
            </w:r>
            <w:r w:rsidR="00E215E5">
              <w:rPr>
                <w:webHidden/>
              </w:rPr>
              <w:fldChar w:fldCharType="end"/>
            </w:r>
          </w:hyperlink>
          <w:hyperlink w:anchor="_Toc126309970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_Toc126309970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r w:rsidR="00E215E5">
            <w:t>7</w:t>
          </w:r>
        </w:p>
        <w:p w:rsidR="00916253" w:rsidRDefault="00E215E5">
          <w:pPr>
            <w:pStyle w:val="41"/>
          </w:pPr>
          <w:r>
            <w:rPr>
              <w:rFonts w:eastAsia="Calibri"/>
              <w:iCs/>
            </w:rPr>
            <w:t xml:space="preserve"> </w:t>
          </w:r>
          <w:hyperlink w:anchor="_Toc126309971">
            <w:r>
              <w:rPr>
                <w:rStyle w:val="aff6"/>
                <w:rFonts w:eastAsia="Calibri"/>
                <w:iCs/>
              </w:rPr>
              <w:t>2.1.</w:t>
            </w:r>
          </w:hyperlink>
          <w:hyperlink w:anchor="_Toc1263099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263099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end"/>
            </w:r>
          </w:hyperlink>
          <w:hyperlink w:anchor="_Toc1263099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ab/>
            </w:r>
            <w:r>
              <w:rPr>
                <w:webHidden/>
              </w:rPr>
              <w:fldChar w:fldCharType="end"/>
            </w:r>
          </w:hyperlink>
          <w:r>
            <w:t>7</w:t>
          </w:r>
        </w:p>
        <w:p w:rsidR="00916253" w:rsidRDefault="00E215E5">
          <w:pPr>
            <w:pStyle w:val="36"/>
            <w:tabs>
              <w:tab w:val="left" w:pos="1120"/>
              <w:tab w:val="right" w:leader="dot" w:pos="9911"/>
            </w:tabs>
          </w:pPr>
          <w:r>
            <w:rPr>
              <w:rFonts w:eastAsia="Calibri"/>
            </w:rPr>
            <w:t xml:space="preserve">      </w:t>
          </w:r>
          <w:hyperlink w:anchor="_Toc126309972">
            <w:r>
              <w:rPr>
                <w:rStyle w:val="aff6"/>
                <w:rFonts w:eastAsia="Calibri"/>
              </w:rPr>
              <w:t>2.1.1.</w:t>
            </w:r>
          </w:hyperlink>
          <w:hyperlink w:anchor="_Toc1263099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263099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end"/>
            </w:r>
          </w:hyperlink>
          <w:hyperlink w:anchor="_Toc1263099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ab/>
            </w:r>
            <w:r>
              <w:rPr>
                <w:webHidden/>
              </w:rPr>
              <w:fldChar w:fldCharType="end"/>
            </w:r>
          </w:hyperlink>
          <w:r>
            <w:t>7</w:t>
          </w:r>
        </w:p>
        <w:p w:rsidR="00916253" w:rsidRDefault="00E215E5">
          <w:pPr>
            <w:pStyle w:val="36"/>
            <w:tabs>
              <w:tab w:val="left" w:pos="1120"/>
              <w:tab w:val="right" w:leader="dot" w:pos="9911"/>
            </w:tabs>
          </w:pPr>
          <w:r>
            <w:rPr>
              <w:rFonts w:eastAsia="Calibri"/>
            </w:rPr>
            <w:t xml:space="preserve">      </w:t>
          </w:r>
          <w:hyperlink w:anchor="_Toc126309973">
            <w:r>
              <w:rPr>
                <w:rStyle w:val="aff6"/>
                <w:rFonts w:eastAsia="Calibri"/>
              </w:rPr>
              <w:t>2.1.2.</w:t>
            </w:r>
          </w:hyperlink>
          <w:hyperlink w:anchor="_Toc1263099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>
              <w:rPr>
                <w:webHidden/>
              </w:rPr>
              <w:fldChar w:fldCharType="end"/>
            </w:r>
          </w:hyperlink>
          <w:hyperlink w:anchor="_Toc1263099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end"/>
            </w:r>
          </w:hyperlink>
          <w:hyperlink w:anchor="_Toc1263099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_Toc126309973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ab/>
            </w:r>
            <w:r>
              <w:rPr>
                <w:webHidden/>
              </w:rPr>
              <w:fldChar w:fldCharType="end"/>
            </w:r>
          </w:hyperlink>
          <w:r>
            <w:t>8</w:t>
          </w:r>
        </w:p>
        <w:p w:rsidR="00916253" w:rsidRDefault="007D6007">
          <w:pPr>
            <w:pStyle w:val="41"/>
          </w:pPr>
          <w:hyperlink w:anchor="_Toc126309974">
            <w:r w:rsidR="00E215E5">
              <w:rPr>
                <w:rStyle w:val="aff6"/>
                <w:rFonts w:eastAsia="Calibri"/>
                <w:iCs/>
              </w:rPr>
              <w:t>2.2.</w:t>
            </w:r>
          </w:hyperlink>
          <w:hyperlink w:anchor="_Toc126309974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_Toc126309974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ascii="Calibri" w:eastAsia="PMingLiU" w:hAnsi="Calibri" w:cs="Arial"/>
                <w:sz w:val="22"/>
                <w:szCs w:val="22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hyperlink w:anchor="_Toc126309974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_Toc126309974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  <w:rFonts w:eastAsia="Calibri"/>
              </w:rPr>
              <w:t>Требования к качеству услуг</w:t>
            </w:r>
            <w:r w:rsidR="00E215E5">
              <w:rPr>
                <w:webHidden/>
              </w:rPr>
              <w:fldChar w:fldCharType="end"/>
            </w:r>
          </w:hyperlink>
          <w:hyperlink w:anchor="_Toc126309974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_Toc126309974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r w:rsidR="00E215E5">
            <w:t>9</w:t>
          </w:r>
        </w:p>
        <w:p w:rsidR="00916253" w:rsidRDefault="007D6007">
          <w:pPr>
            <w:pStyle w:val="36"/>
            <w:tabs>
              <w:tab w:val="right" w:leader="dot" w:pos="9911"/>
            </w:tabs>
          </w:pPr>
          <w:hyperlink w:anchor="_Toc126309975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_Toc126309975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>-</w:t>
            </w:r>
            <w:r w:rsidR="00E215E5">
              <w:rPr>
                <w:rStyle w:val="aff6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</w:p>
        <w:p w:rsidR="00916253" w:rsidRDefault="007D6007">
          <w:pPr>
            <w:pStyle w:val="36"/>
            <w:tabs>
              <w:tab w:val="right" w:leader="dot" w:pos="9911"/>
            </w:tabs>
          </w:pPr>
          <w:hyperlink w:anchor="_Toc126309976">
            <w:r w:rsidR="00E215E5">
              <w:rPr>
                <w:webHidden/>
              </w:rPr>
              <w:fldChar w:fldCharType="begin"/>
            </w:r>
            <w:r w:rsidR="00E215E5">
              <w:rPr>
                <w:webHidden/>
              </w:rPr>
              <w:instrText>PAGEREF _Toc126309976 \h</w:instrText>
            </w:r>
            <w:r w:rsidR="00E215E5">
              <w:rPr>
                <w:webHidden/>
              </w:rPr>
            </w:r>
            <w:r w:rsidR="00E215E5">
              <w:rPr>
                <w:webHidden/>
              </w:rPr>
              <w:fldChar w:fldCharType="separate"/>
            </w:r>
            <w:r w:rsidR="00E215E5">
              <w:rPr>
                <w:rStyle w:val="aff6"/>
              </w:rPr>
              <w:t>-</w:t>
            </w:r>
            <w:r w:rsidR="00E215E5">
              <w:rPr>
                <w:rStyle w:val="aff6"/>
              </w:rPr>
              <w:tab/>
            </w:r>
            <w:r w:rsidR="00E215E5">
              <w:rPr>
                <w:webHidden/>
              </w:rPr>
              <w:fldChar w:fldCharType="end"/>
            </w:r>
          </w:hyperlink>
          <w:r w:rsidR="00E215E5">
            <w:rPr>
              <w:rStyle w:val="aff6"/>
            </w:rPr>
            <w:fldChar w:fldCharType="end"/>
          </w:r>
        </w:p>
      </w:sdtContent>
    </w:sdt>
    <w:p w:rsidR="00916253" w:rsidRDefault="00916253">
      <w:pPr>
        <w:tabs>
          <w:tab w:val="left" w:pos="560"/>
          <w:tab w:val="right" w:leader="dot" w:pos="9911"/>
        </w:tabs>
        <w:rPr>
          <w:rFonts w:eastAsia="Calibri"/>
        </w:rPr>
      </w:pPr>
    </w:p>
    <w:p w:rsidR="00916253" w:rsidRDefault="00916253">
      <w:pPr>
        <w:pStyle w:val="18"/>
        <w:tabs>
          <w:tab w:val="right" w:leader="dot" w:pos="9911"/>
        </w:tabs>
        <w:rPr>
          <w:rFonts w:ascii="Calibri" w:eastAsia="PMingLiU" w:hAnsi="Calibri" w:cs="Arial"/>
          <w:b w:val="0"/>
          <w:bCs w:val="0"/>
        </w:rPr>
      </w:pPr>
    </w:p>
    <w:p w:rsidR="00916253" w:rsidRDefault="00916253">
      <w:pPr>
        <w:pStyle w:val="2"/>
        <w:ind w:left="0" w:firstLine="0"/>
        <w:rPr>
          <w:b w:val="0"/>
          <w:i/>
        </w:rPr>
      </w:pPr>
    </w:p>
    <w:p w:rsidR="00916253" w:rsidRDefault="00E215E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16253" w:rsidRDefault="00E215E5">
      <w:pPr>
        <w:pStyle w:val="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6" w:name="_Toc126309964"/>
      <w:bookmarkEnd w:id="6"/>
      <w:r>
        <w:rPr>
          <w:lang w:val="ru-RU"/>
        </w:rPr>
        <w:lastRenderedPageBreak/>
        <w:t>Общие сведения</w:t>
      </w:r>
    </w:p>
    <w:p w:rsidR="00916253" w:rsidRDefault="00E215E5">
      <w:pPr>
        <w:pStyle w:val="4"/>
        <w:numPr>
          <w:ilvl w:val="1"/>
          <w:numId w:val="1"/>
        </w:numPr>
      </w:pPr>
      <w:bookmarkStart w:id="7" w:name="_Toc46743505"/>
      <w:bookmarkStart w:id="8" w:name="_Toc126309965"/>
      <w:bookmarkEnd w:id="7"/>
      <w:bookmarkEnd w:id="8"/>
      <w:r>
        <w:t>Обозначения и сокращения</w:t>
      </w:r>
    </w:p>
    <w:tbl>
      <w:tblPr>
        <w:tblW w:w="9783" w:type="dxa"/>
        <w:jc w:val="center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1785"/>
        <w:gridCol w:w="7998"/>
      </w:tblGrid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Филиал ПАО «РусГидро»-«Воткинская ГЭС»</w:t>
            </w:r>
          </w:p>
        </w:tc>
      </w:tr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Руководящий документ</w:t>
            </w:r>
          </w:p>
        </w:tc>
      </w:tr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Стандарт организации</w:t>
            </w:r>
          </w:p>
        </w:tc>
      </w:tr>
      <w:tr w:rsidR="00916253">
        <w:trPr>
          <w:cantSplit/>
          <w:jc w:val="center"/>
        </w:trPr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Публичное акционерное общество</w:t>
            </w:r>
          </w:p>
        </w:tc>
      </w:tr>
    </w:tbl>
    <w:p w:rsidR="00916253" w:rsidRDefault="00916253">
      <w:pPr>
        <w:keepNext/>
        <w:keepLines/>
        <w:jc w:val="both"/>
        <w:rPr>
          <w:sz w:val="24"/>
          <w:szCs w:val="24"/>
        </w:rPr>
      </w:pPr>
    </w:p>
    <w:p w:rsidR="00916253" w:rsidRDefault="00916253">
      <w:pPr>
        <w:keepNext/>
        <w:keepLines/>
        <w:jc w:val="both"/>
        <w:rPr>
          <w:sz w:val="24"/>
          <w:szCs w:val="24"/>
        </w:rPr>
      </w:pPr>
    </w:p>
    <w:p w:rsidR="00916253" w:rsidRDefault="00E215E5">
      <w:pPr>
        <w:keepNext/>
        <w:keepLines/>
        <w:rPr>
          <w:sz w:val="24"/>
          <w:szCs w:val="24"/>
        </w:rPr>
      </w:pPr>
      <w:r>
        <w:br w:type="page"/>
      </w:r>
    </w:p>
    <w:p w:rsidR="00916253" w:rsidRDefault="00E215E5">
      <w:pPr>
        <w:pStyle w:val="4"/>
        <w:numPr>
          <w:ilvl w:val="1"/>
          <w:numId w:val="1"/>
        </w:numPr>
      </w:pPr>
      <w:bookmarkStart w:id="9" w:name="_Toc126309966"/>
      <w:bookmarkStart w:id="10" w:name="_Toc46743506"/>
      <w:bookmarkEnd w:id="9"/>
      <w:bookmarkEnd w:id="10"/>
      <w:r>
        <w:lastRenderedPageBreak/>
        <w:t>Наименование закупаемой продукции</w:t>
      </w:r>
    </w:p>
    <w:p w:rsidR="00916253" w:rsidRDefault="00E215E5">
      <w:pPr>
        <w:widowControl w:val="0"/>
        <w:tabs>
          <w:tab w:val="left" w:pos="426"/>
        </w:tabs>
        <w:spacing w:before="120" w:after="120"/>
        <w:rPr>
          <w:rFonts w:eastAsia="Calibri"/>
          <w:i/>
          <w:lang w:eastAsia="x-none"/>
        </w:rPr>
      </w:pPr>
      <w:r>
        <w:rPr>
          <w:rFonts w:eastAsia="Arial Unicode MS"/>
          <w:sz w:val="24"/>
          <w:szCs w:val="24"/>
          <w:lang w:eastAsia="ar-SA"/>
        </w:rPr>
        <w:t>ОКПД2 71.20.12</w:t>
      </w:r>
      <w:r>
        <w:rPr>
          <w:rFonts w:eastAsia="Arial Unicode MS"/>
          <w:b/>
          <w:bCs/>
          <w:sz w:val="24"/>
          <w:szCs w:val="24"/>
          <w:lang w:eastAsia="ar-SA"/>
        </w:rPr>
        <w:t xml:space="preserve"> </w:t>
      </w:r>
      <w:r>
        <w:rPr>
          <w:rFonts w:eastAsia="Arial Unicode MS"/>
          <w:sz w:val="24"/>
          <w:szCs w:val="20"/>
          <w:lang w:eastAsia="ar-SA"/>
        </w:rPr>
        <w:t xml:space="preserve">Услуги по химическому анализу энергетических масел </w:t>
      </w:r>
      <w:r>
        <w:rPr>
          <w:rFonts w:eastAsia="Calibri"/>
          <w:sz w:val="24"/>
          <w:szCs w:val="24"/>
          <w:lang w:eastAsia="ar-SA"/>
        </w:rPr>
        <w:t>для нужд филиала ПАО «РусГидро» - «Воткинская ГЭС»</w:t>
      </w:r>
      <w:r>
        <w:rPr>
          <w:rFonts w:eastAsia="Arial Unicode MS"/>
          <w:sz w:val="24"/>
          <w:szCs w:val="20"/>
          <w:lang w:eastAsia="ar-SA"/>
        </w:rPr>
        <w:t>.</w:t>
      </w:r>
    </w:p>
    <w:p w:rsidR="00916253" w:rsidRDefault="00E215E5">
      <w:pPr>
        <w:pStyle w:val="4"/>
        <w:numPr>
          <w:ilvl w:val="1"/>
          <w:numId w:val="1"/>
        </w:numPr>
        <w:spacing w:before="240"/>
        <w:ind w:left="431" w:hanging="431"/>
      </w:pPr>
      <w:bookmarkStart w:id="11" w:name="_Toc46743507"/>
      <w:bookmarkStart w:id="12" w:name="_Toc126309967"/>
      <w:r>
        <w:t xml:space="preserve">Цель </w:t>
      </w:r>
      <w:bookmarkEnd w:id="11"/>
      <w:r>
        <w:rPr>
          <w:lang w:val="ru-RU"/>
        </w:rPr>
        <w:t>оказания услуг</w:t>
      </w:r>
      <w:bookmarkEnd w:id="12"/>
      <w:r>
        <w:t xml:space="preserve"> </w:t>
      </w:r>
    </w:p>
    <w:p w:rsidR="00916253" w:rsidRDefault="00E215E5">
      <w:pPr>
        <w:widowControl w:val="0"/>
        <w:tabs>
          <w:tab w:val="left" w:pos="426"/>
        </w:tabs>
        <w:spacing w:before="120" w:after="240"/>
        <w:ind w:right="-2"/>
        <w:jc w:val="both"/>
      </w:pP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 xml:space="preserve">1.3.1. Обеспечение соответствия параметров эксплуатационного трансформаторного масла трансформаторов 3АТГ фаза В, 3АТГ фаза С, 5АТ, 6АТ, резервной фазы 2-3АТГ, реактора «Вятка» фазы А, В, С, реактора «Емелино» фазы А, В, С, резервной фазы реактора требованиям </w:t>
      </w:r>
      <w:r>
        <w:rPr>
          <w:rStyle w:val="afc"/>
          <w:i w:val="0"/>
          <w:color w:val="000000"/>
          <w:sz w:val="22"/>
          <w:szCs w:val="22"/>
          <w:shd w:val="clear" w:color="auto" w:fill="FFFFFF"/>
          <w:lang w:eastAsia="ar-SA"/>
        </w:rPr>
        <w:t xml:space="preserve">СТО РусГидро 02.01.124-2020 «Силовые трансформаторы. Организация технической эксплуатации. Нормы и требования», </w:t>
      </w: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 xml:space="preserve">СТО РусГидро 02.01.112-2015 «Гидроэлектростанции. Энергетические масла и маслохозяйства. Организация эксплуатации и технического обслуживания. Нормы и требования» и </w:t>
      </w:r>
      <w:r>
        <w:rPr>
          <w:rStyle w:val="afc"/>
          <w:bCs/>
          <w:i w:val="0"/>
          <w:color w:val="000000"/>
          <w:sz w:val="22"/>
          <w:szCs w:val="22"/>
          <w:shd w:val="clear" w:color="auto" w:fill="FFFFFF"/>
          <w:lang w:eastAsia="ar-SA"/>
        </w:rPr>
        <w:t xml:space="preserve"> РД 34.45-51.300 </w:t>
      </w: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>«О</w:t>
      </w:r>
      <w:r>
        <w:rPr>
          <w:rStyle w:val="afc"/>
          <w:bCs/>
          <w:i w:val="0"/>
          <w:color w:val="000000"/>
          <w:sz w:val="22"/>
          <w:szCs w:val="22"/>
          <w:shd w:val="clear" w:color="auto" w:fill="FFFFFF"/>
          <w:lang w:eastAsia="ar-SA"/>
        </w:rPr>
        <w:t>бъем и нормы испытаний электрооборудования».</w:t>
      </w:r>
    </w:p>
    <w:p w:rsidR="00916253" w:rsidRDefault="00E215E5">
      <w:pPr>
        <w:widowControl w:val="0"/>
        <w:tabs>
          <w:tab w:val="left" w:pos="426"/>
        </w:tabs>
        <w:spacing w:before="120" w:after="240"/>
        <w:ind w:right="-2"/>
        <w:jc w:val="both"/>
      </w:pP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 xml:space="preserve">1.3.2. Обеспечение соответствия параметров свежего турбинного масла </w:t>
      </w:r>
      <w:r>
        <w:rPr>
          <w:rStyle w:val="afc"/>
          <w:bCs/>
          <w:i w:val="0"/>
          <w:color w:val="000000"/>
          <w:sz w:val="24"/>
          <w:szCs w:val="24"/>
          <w:shd w:val="clear" w:color="auto" w:fill="auto"/>
          <w:lang w:eastAsia="ar-SA"/>
        </w:rPr>
        <w:t>(при поступлении),</w:t>
      </w:r>
      <w:r>
        <w:rPr>
          <w:rStyle w:val="afc"/>
          <w:i w:val="0"/>
          <w:color w:val="000000"/>
          <w:sz w:val="22"/>
          <w:szCs w:val="22"/>
          <w:shd w:val="clear" w:color="auto" w:fill="F6F9D4"/>
          <w:lang w:eastAsia="ar-SA"/>
        </w:rPr>
        <w:t xml:space="preserve"> </w:t>
      </w:r>
      <w:r>
        <w:rPr>
          <w:rStyle w:val="afc"/>
          <w:i w:val="0"/>
          <w:color w:val="000000"/>
          <w:sz w:val="24"/>
          <w:szCs w:val="24"/>
          <w:shd w:val="clear" w:color="auto" w:fill="FFFFFF"/>
          <w:lang w:eastAsia="ar-SA"/>
        </w:rPr>
        <w:t>требованиям</w:t>
      </w:r>
      <w:r>
        <w:rPr>
          <w:rStyle w:val="afc"/>
          <w:i w:val="0"/>
          <w:color w:val="000000"/>
          <w:sz w:val="22"/>
          <w:szCs w:val="22"/>
          <w:shd w:val="clear" w:color="auto" w:fill="FFFFFF"/>
          <w:lang w:eastAsia="ar-SA"/>
        </w:rPr>
        <w:t xml:space="preserve"> стандарта </w:t>
      </w:r>
      <w:r>
        <w:rPr>
          <w:rStyle w:val="afc"/>
          <w:bCs/>
          <w:i w:val="0"/>
          <w:color w:val="000000"/>
          <w:sz w:val="22"/>
          <w:szCs w:val="22"/>
          <w:shd w:val="clear" w:color="auto" w:fill="FFFFFF"/>
          <w:lang w:eastAsia="ar-SA"/>
        </w:rPr>
        <w:t>организации СТО РусГидро 02.01.112-2015 «Гидроэлектростанции. Энергетические масла и маслохозяйства.».</w:t>
      </w:r>
    </w:p>
    <w:p w:rsidR="00916253" w:rsidRDefault="00E215E5">
      <w:pPr>
        <w:pStyle w:val="4"/>
        <w:numPr>
          <w:ilvl w:val="1"/>
          <w:numId w:val="1"/>
        </w:numPr>
      </w:pPr>
      <w:bookmarkStart w:id="13" w:name="_Toc126309968"/>
      <w:bookmarkStart w:id="14" w:name="_Toc46743508"/>
      <w:r>
        <w:t>Существующее положение</w:t>
      </w:r>
      <w:bookmarkEnd w:id="13"/>
      <w:bookmarkEnd w:id="14"/>
      <w:r>
        <w:rPr>
          <w:lang w:val="ru-RU"/>
        </w:rPr>
        <w:t xml:space="preserve"> </w:t>
      </w:r>
    </w:p>
    <w:p w:rsidR="00916253" w:rsidRDefault="00E215E5">
      <w:pPr>
        <w:ind w:right="-2"/>
        <w:jc w:val="both"/>
      </w:pPr>
      <w:r>
        <w:rPr>
          <w:sz w:val="24"/>
          <w:szCs w:val="24"/>
        </w:rPr>
        <w:t>1.4.1. Эксплуатационное трансформаторное м</w:t>
      </w:r>
      <w:r>
        <w:rPr>
          <w:rStyle w:val="afc"/>
          <w:i w:val="0"/>
          <w:sz w:val="24"/>
          <w:szCs w:val="24"/>
          <w:shd w:val="clear" w:color="auto" w:fill="FFFFFF"/>
          <w:lang w:eastAsia="ar-SA"/>
        </w:rPr>
        <w:t xml:space="preserve">асло </w:t>
      </w: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>трансформаторов 3АТГ фаза В, 3АТГ фаза С, 5АТ, 6АТ, резервной фазы 2-3АТГ, реактора «Вятка» фазы А, В, С, реактора «Емелино» фазы А, В, С, резервной фазы реактора</w:t>
      </w:r>
      <w:r>
        <w:rPr>
          <w:rStyle w:val="afc"/>
          <w:i w:val="0"/>
          <w:sz w:val="24"/>
          <w:szCs w:val="24"/>
          <w:shd w:val="clear" w:color="auto" w:fill="FFFFFF"/>
          <w:lang w:eastAsia="ar-SA"/>
        </w:rPr>
        <w:t xml:space="preserve"> с п</w:t>
      </w: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 xml:space="preserve">ериодичностью не реже 1 раза в 4-е года, согласно </w:t>
      </w:r>
      <w:r>
        <w:rPr>
          <w:rStyle w:val="afc"/>
          <w:i w:val="0"/>
          <w:sz w:val="22"/>
          <w:szCs w:val="22"/>
          <w:shd w:val="clear" w:color="auto" w:fill="FFFFFF"/>
          <w:lang w:eastAsia="ar-SA"/>
        </w:rPr>
        <w:t>П.7.21.4 М.</w:t>
      </w: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Style w:val="afc"/>
          <w:i w:val="0"/>
          <w:color w:val="000000"/>
          <w:sz w:val="22"/>
          <w:szCs w:val="22"/>
          <w:shd w:val="clear" w:color="auto" w:fill="FFFFFF"/>
          <w:lang w:eastAsia="ar-SA"/>
        </w:rPr>
        <w:t>СТО РусГидро 02.01.124-2020 «Силовые трансформаторы. Организация технической эксплуатации. Нормы и требования»</w:t>
      </w: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>, должно быть проверено на содержание присадки АГИДОЛ-1 (ионол). Последний анализ проводился в 2022г.</w:t>
      </w:r>
    </w:p>
    <w:p w:rsidR="00916253" w:rsidRDefault="00916253">
      <w:pPr>
        <w:ind w:right="-2"/>
        <w:jc w:val="both"/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</w:pPr>
    </w:p>
    <w:p w:rsidR="00916253" w:rsidRDefault="00E215E5">
      <w:pPr>
        <w:ind w:right="-2"/>
        <w:jc w:val="both"/>
      </w:pP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 xml:space="preserve"> 1.4.2.  </w:t>
      </w:r>
      <w:r>
        <w:rPr>
          <w:rStyle w:val="afc"/>
          <w:i w:val="0"/>
          <w:sz w:val="24"/>
          <w:szCs w:val="24"/>
          <w:shd w:val="clear" w:color="auto" w:fill="FFFFFF"/>
          <w:lang w:eastAsia="ar-SA"/>
        </w:rPr>
        <w:t xml:space="preserve">Эксплуатационное трансформаторное масло реактора </w:t>
      </w:r>
      <w:r>
        <w:rPr>
          <w:rStyle w:val="afc"/>
          <w:bCs/>
          <w:i w:val="0"/>
          <w:color w:val="000000"/>
          <w:sz w:val="24"/>
          <w:szCs w:val="24"/>
          <w:shd w:val="clear" w:color="auto" w:fill="FFFFFF"/>
          <w:lang w:eastAsia="ar-SA"/>
        </w:rPr>
        <w:t>«Вятка» фазы А, В, С, реактора «Емелино» фазы А, В, С, резервной фазы реактора с периодичностью 1 раз в 12 лет, согласно п.6.6.1 РД 34.45-51.300 «Объем и нормы испытаний электрооборудования», должно быть проверено на содержание фурановых соединений (в том числе фурфурола). Дата ввода оборудования в эксплуатацию в 2014 году.</w:t>
      </w:r>
    </w:p>
    <w:p w:rsidR="00916253" w:rsidRDefault="00916253">
      <w:pPr>
        <w:ind w:right="-2"/>
        <w:jc w:val="both"/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</w:pPr>
    </w:p>
    <w:p w:rsidR="00916253" w:rsidRDefault="00E215E5">
      <w:pPr>
        <w:ind w:right="-2"/>
        <w:jc w:val="both"/>
      </w:pP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>1.4.3. С</w:t>
      </w:r>
      <w:r>
        <w:rPr>
          <w:rStyle w:val="afc"/>
          <w:i w:val="0"/>
          <w:sz w:val="22"/>
          <w:szCs w:val="22"/>
          <w:shd w:val="clear" w:color="auto" w:fill="FFFFFF"/>
          <w:lang w:eastAsia="ar-SA"/>
        </w:rPr>
        <w:t xml:space="preserve">вежее турбинное масло марки Тп-30 </w:t>
      </w:r>
      <w:r>
        <w:rPr>
          <w:rStyle w:val="afc"/>
          <w:i w:val="0"/>
          <w:sz w:val="22"/>
          <w:szCs w:val="22"/>
          <w:shd w:val="clear" w:color="auto" w:fill="auto"/>
          <w:lang w:eastAsia="ar-SA"/>
        </w:rPr>
        <w:t>(при поступлении)</w:t>
      </w:r>
      <w:r>
        <w:rPr>
          <w:rStyle w:val="afc"/>
          <w:bCs/>
          <w:i w:val="0"/>
          <w:sz w:val="24"/>
          <w:szCs w:val="24"/>
          <w:shd w:val="clear" w:color="auto" w:fill="auto"/>
          <w:lang w:eastAsia="ar-SA"/>
        </w:rPr>
        <w:t xml:space="preserve">, </w:t>
      </w:r>
      <w:r>
        <w:rPr>
          <w:rStyle w:val="afc"/>
          <w:bCs/>
          <w:i w:val="0"/>
          <w:sz w:val="24"/>
          <w:szCs w:val="24"/>
          <w:shd w:val="clear" w:color="auto" w:fill="FFFFFF"/>
          <w:lang w:eastAsia="ar-SA"/>
        </w:rPr>
        <w:t>согласно</w:t>
      </w:r>
      <w:r>
        <w:rPr>
          <w:rStyle w:val="afc"/>
          <w:i w:val="0"/>
          <w:sz w:val="22"/>
          <w:szCs w:val="22"/>
          <w:shd w:val="clear" w:color="auto" w:fill="FFFFFF"/>
          <w:lang w:eastAsia="ar-SA"/>
        </w:rPr>
        <w:t xml:space="preserve"> стандарта организации СТО РусГид</w:t>
      </w:r>
      <w:r>
        <w:rPr>
          <w:rStyle w:val="afc"/>
          <w:bCs/>
          <w:i w:val="0"/>
          <w:sz w:val="22"/>
          <w:szCs w:val="22"/>
          <w:shd w:val="clear" w:color="auto" w:fill="FFFFFF"/>
          <w:lang w:eastAsia="ar-SA"/>
        </w:rPr>
        <w:t xml:space="preserve">ро 02.01.112-2015 «Гидроэлектростанции. Энергетические масла и маслохозяйства.» п. 6.1.8.2 должно быть проверено </w:t>
      </w:r>
      <w:r>
        <w:rPr>
          <w:rStyle w:val="afc"/>
          <w:i w:val="0"/>
          <w:sz w:val="22"/>
          <w:szCs w:val="22"/>
          <w:shd w:val="clear" w:color="auto" w:fill="FFFFFF"/>
          <w:lang w:eastAsia="ar-SA"/>
        </w:rPr>
        <w:t xml:space="preserve">на стабильность против окисления, коррозию на стальных стержнях, время деэмульсации. </w:t>
      </w:r>
    </w:p>
    <w:p w:rsidR="00916253" w:rsidRDefault="00916253">
      <w:pPr>
        <w:ind w:right="-2"/>
        <w:jc w:val="both"/>
        <w:rPr>
          <w:rStyle w:val="afc"/>
          <w:bCs/>
          <w:i w:val="0"/>
          <w:sz w:val="22"/>
          <w:szCs w:val="22"/>
          <w:shd w:val="clear" w:color="auto" w:fill="FFFFFF"/>
          <w:lang w:eastAsia="ar-SA"/>
        </w:rPr>
      </w:pPr>
    </w:p>
    <w:p w:rsidR="00916253" w:rsidRDefault="00E215E5">
      <w:pPr>
        <w:pStyle w:val="1a"/>
      </w:pPr>
      <w:r>
        <w:rPr>
          <w:rStyle w:val="afc"/>
          <w:rFonts w:ascii="Times New Roman" w:hAnsi="Times New Roman"/>
          <w:bCs/>
          <w:i w:val="0"/>
          <w:sz w:val="24"/>
          <w:szCs w:val="24"/>
          <w:shd w:val="clear" w:color="auto" w:fill="FFFFFF"/>
          <w:lang w:eastAsia="ar-SA"/>
        </w:rPr>
        <w:t>Таблица 1. Перечень объектов заказчика</w:t>
      </w:r>
    </w:p>
    <w:tbl>
      <w:tblPr>
        <w:tblW w:w="10059" w:type="dxa"/>
        <w:tblInd w:w="88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561"/>
        <w:gridCol w:w="2797"/>
        <w:gridCol w:w="2568"/>
        <w:gridCol w:w="2533"/>
        <w:gridCol w:w="1600"/>
      </w:tblGrid>
      <w:tr w:rsidR="00916253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916253" w:rsidRDefault="009162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16253"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16253">
        <w:trPr>
          <w:trHeight w:val="88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851"/>
              </w:tabs>
              <w:jc w:val="both"/>
              <w:textAlignment w:val="baseline"/>
            </w:pPr>
            <w:r>
              <w:rPr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Масло из силового трансформатора 3АТГ фаза В напряжением 500 кВ.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851"/>
              </w:tabs>
              <w:jc w:val="both"/>
              <w:textAlignment w:val="baseline"/>
            </w:pPr>
            <w:r>
              <w:rPr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ВТ40795 Cиловой  трансформатор 3АТГ фаза В напряжением 500 кВ.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851"/>
              </w:tabs>
              <w:jc w:val="both"/>
              <w:textAlignment w:val="baseline"/>
            </w:pPr>
            <w:r>
              <w:rPr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Масло из силового трансформатора 3АТГ фаза С напряжением 500 кВ.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851"/>
              </w:tabs>
              <w:jc w:val="both"/>
              <w:textAlignment w:val="baseline"/>
            </w:pPr>
            <w:r>
              <w:rPr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ВТ40796 Силовой трансформатор 3АТГ фаза С напряжением 500 кВ.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Масло из силового трансформатора 5АТ напряжением 220 кВ.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10601040000016640000 С</w:t>
            </w:r>
            <w:r>
              <w:rPr>
                <w:sz w:val="24"/>
                <w:szCs w:val="24"/>
                <w:highlight w:val="white"/>
              </w:rPr>
              <w:t>иловой трансформатор 5АТ напряжением 220 кВ.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Масло из силового трансформатора 6АТ напряжением 220 кВ.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10601040000016650000 С</w:t>
            </w:r>
            <w:r>
              <w:rPr>
                <w:sz w:val="24"/>
                <w:szCs w:val="24"/>
                <w:highlight w:val="white"/>
              </w:rPr>
              <w:t>иловой трансформатор 6АТ напряжением 220 кВ.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Масло из силового трансформатора 2-3АТГ резервная фаза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ВТ40797 Силовой трансформатор 2-3АТГ резервная фаза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«Емелино» фаза А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ВТ40774 Реактор шунтирующий «Емелино» фаза А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«Емелино» фаза В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</w:t>
            </w:r>
          </w:p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ВТ40775 Реактор шунтирующий  «Емелино» фаза В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«Емелино» фаза С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  <w:p w:rsidR="00916253" w:rsidRDefault="00916253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ВТ40773 Реактор шунтирующий  «Емелино» фаза С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«Вятка» фаза А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ВТ40772 Реактор шунтирующий  «Вятка» фаза А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«Вятка» фаза В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ВТ40771 Реактор шунтирующий  «Вятка» фаза В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из шунтирующего реактора «Вятка» фаза С напряжением 500 кВ</w:t>
            </w:r>
          </w:p>
        </w:tc>
        <w:tc>
          <w:tcPr>
            <w:tcW w:w="2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ВТ40769 Реактор шунтирующий  «Вятка» фаза С напряжением 500 кВ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5" w:type="dxa"/>
              <w:bottom w:w="55" w:type="dxa"/>
            </w:tcMar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eastAsia="ar-SA"/>
              </w:rPr>
              <w:t>Масло из шунтирующего реактора резервная фаза  напряжением 500 кВ</w:t>
            </w:r>
          </w:p>
        </w:tc>
        <w:tc>
          <w:tcPr>
            <w:tcW w:w="2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highlight w:val="white"/>
              </w:rPr>
            </w:pPr>
            <w:r>
              <w:rPr>
                <w:sz w:val="24"/>
                <w:szCs w:val="24"/>
                <w:shd w:val="clear" w:color="auto" w:fill="FFFFFF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г. Чайковский, 617761.</w:t>
            </w:r>
          </w:p>
        </w:tc>
        <w:tc>
          <w:tcPr>
            <w:tcW w:w="25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highlight w:val="white"/>
                <w:shd w:val="clear" w:color="auto" w:fill="FFFFFF"/>
                <w:lang w:eastAsia="ar-SA"/>
              </w:rPr>
              <w:t>ВТ40770 Реактор шунтирующий  резервная фаза  напряжением 500 кВ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ind w:right="-2"/>
              <w:jc w:val="both"/>
              <w:rPr>
                <w:iCs/>
                <w:sz w:val="24"/>
                <w:szCs w:val="24"/>
                <w:lang w:eastAsia="ar-SA"/>
              </w:rPr>
            </w:pPr>
          </w:p>
        </w:tc>
      </w:tr>
      <w:tr w:rsidR="00916253">
        <w:trPr>
          <w:trHeight w:val="88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pStyle w:val="afb"/>
              <w:widowControl w:val="0"/>
              <w:numPr>
                <w:ilvl w:val="0"/>
                <w:numId w:val="3"/>
              </w:numPr>
            </w:pPr>
          </w:p>
        </w:tc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highlight w:val="white"/>
              </w:rPr>
            </w:pPr>
            <w:r>
              <w:rPr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Свежее масло в бочках (при поступлении)</w:t>
            </w:r>
          </w:p>
        </w:tc>
        <w:tc>
          <w:tcPr>
            <w:tcW w:w="2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67"/>
              </w:tabs>
              <w:jc w:val="both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Филиал ПАО «РусГидро» - «Воткинская ГЭС», Российская Федерация, Пермский край, Чайковский городской округ,                       г. Чайковский, 617761.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highlight w:val="white"/>
              </w:rPr>
            </w:pPr>
            <w:r>
              <w:rPr>
                <w:rStyle w:val="afc"/>
                <w:i w:val="0"/>
                <w:iCs/>
                <w:color w:val="000000"/>
                <w:sz w:val="24"/>
                <w:szCs w:val="24"/>
                <w:highlight w:val="white"/>
                <w:shd w:val="clear" w:color="auto" w:fill="FFFFFF"/>
                <w:lang w:eastAsia="ar-SA"/>
              </w:rPr>
              <w:t>Свежее масло в бочках (при поступлении)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rPr>
                <w:iCs/>
                <w:sz w:val="24"/>
                <w:szCs w:val="24"/>
                <w:lang w:eastAsia="ar-SA"/>
              </w:rPr>
            </w:pPr>
          </w:p>
        </w:tc>
      </w:tr>
    </w:tbl>
    <w:p w:rsidR="00916253" w:rsidRDefault="00E215E5">
      <w:pPr>
        <w:pStyle w:val="4"/>
        <w:widowControl w:val="0"/>
        <w:tabs>
          <w:tab w:val="left" w:pos="851"/>
        </w:tabs>
        <w:spacing w:before="240" w:after="0"/>
        <w:jc w:val="both"/>
        <w:textAlignment w:val="baseline"/>
        <w:rPr>
          <w:lang w:eastAsia="ar-SA"/>
        </w:rPr>
      </w:pPr>
      <w:bookmarkStart w:id="15" w:name="_Toc50125126"/>
      <w:bookmarkStart w:id="16" w:name="_Hlk4820976111111111111111"/>
      <w:bookmarkEnd w:id="15"/>
      <w:bookmarkEnd w:id="16"/>
      <w:r>
        <w:rPr>
          <w:lang w:eastAsia="ar-SA"/>
        </w:rPr>
        <w:lastRenderedPageBreak/>
        <w:t xml:space="preserve">2.  </w:t>
      </w:r>
      <w:bookmarkStart w:id="17" w:name="_Toc126309970"/>
      <w:bookmarkStart w:id="18" w:name="_Toc51339693"/>
      <w:r>
        <w:rPr>
          <w:iCs/>
          <w:lang w:val="ru-RU"/>
        </w:rPr>
        <w:t>Требования</w:t>
      </w:r>
      <w:bookmarkEnd w:id="17"/>
      <w:bookmarkEnd w:id="18"/>
      <w:r>
        <w:rPr>
          <w:iCs/>
        </w:rPr>
        <w:t xml:space="preserve"> к продукции</w:t>
      </w:r>
    </w:p>
    <w:p w:rsidR="00916253" w:rsidRDefault="00E215E5">
      <w:pPr>
        <w:pStyle w:val="4"/>
        <w:ind w:left="0" w:firstLine="0"/>
      </w:pPr>
      <w:r>
        <w:t xml:space="preserve">2. 1. </w:t>
      </w:r>
      <w:bookmarkStart w:id="19" w:name="_Toc126309971"/>
      <w:r>
        <w:t xml:space="preserve">Требования к объемам и срокам </w:t>
      </w:r>
      <w:bookmarkEnd w:id="19"/>
      <w:r>
        <w:rPr>
          <w:lang w:val="ru-RU"/>
        </w:rPr>
        <w:t>оказания услуг</w:t>
      </w:r>
    </w:p>
    <w:p w:rsidR="00916253" w:rsidRDefault="00E215E5">
      <w:pPr>
        <w:pStyle w:val="3"/>
        <w:ind w:left="720" w:firstLine="0"/>
        <w:rPr>
          <w:lang w:val="ru-RU"/>
        </w:rPr>
      </w:pPr>
      <w:bookmarkStart w:id="20" w:name="_Toc126309972"/>
      <w:bookmarkEnd w:id="20"/>
      <w:r>
        <w:rPr>
          <w:lang w:val="ru-RU"/>
        </w:rPr>
        <w:t>2.1.1.  Требования к перечню и объему услуг</w:t>
      </w:r>
    </w:p>
    <w:p w:rsidR="00916253" w:rsidRDefault="00E215E5">
      <w:pPr>
        <w:pStyle w:val="ConsPlusNormal"/>
        <w:spacing w:after="120"/>
      </w:pPr>
      <w:bookmarkStart w:id="21" w:name="_Toc51339695"/>
      <w:r>
        <w:rPr>
          <w:rFonts w:ascii="Times New Roman" w:hAnsi="Times New Roman" w:cs="Times New Roman"/>
          <w:sz w:val="24"/>
          <w:szCs w:val="24"/>
        </w:rPr>
        <w:t xml:space="preserve">Таблица 2. Перечень </w:t>
      </w:r>
      <w:bookmarkEnd w:id="21"/>
      <w:r>
        <w:rPr>
          <w:rFonts w:ascii="Times New Roman" w:hAnsi="Times New Roman" w:cs="Times New Roman"/>
          <w:sz w:val="24"/>
          <w:szCs w:val="24"/>
        </w:rPr>
        <w:t>и объем оказываемых услуг</w:t>
      </w:r>
    </w:p>
    <w:tbl>
      <w:tblPr>
        <w:tblW w:w="9974" w:type="dxa"/>
        <w:tblInd w:w="196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681"/>
        <w:gridCol w:w="3992"/>
        <w:gridCol w:w="1631"/>
        <w:gridCol w:w="1539"/>
        <w:gridCol w:w="2131"/>
      </w:tblGrid>
      <w:tr w:rsidR="00916253">
        <w:trPr>
          <w:tblHeader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916253" w:rsidRDefault="00E215E5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16253">
        <w:trPr>
          <w:tblHeader/>
        </w:trPr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16253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57"/>
            </w:pPr>
            <w:r>
              <w:t>1.1.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</w:pPr>
            <w:r>
              <w:rPr>
                <w:sz w:val="24"/>
                <w:szCs w:val="24"/>
              </w:rPr>
              <w:t xml:space="preserve">Определение содержания антиокислительной присадки АГИДОЛ-1(2,6дитретбутил-4-метилфенол или ионол) </w:t>
            </w:r>
            <w:r>
              <w:rPr>
                <w:bCs/>
                <w:sz w:val="24"/>
                <w:szCs w:val="24"/>
              </w:rPr>
              <w:t>по одному из ниже перечисленных нормативных документов:</w:t>
            </w:r>
          </w:p>
          <w:p w:rsidR="00916253" w:rsidRDefault="00E215E5">
            <w:pPr>
              <w:widowControl w:val="0"/>
              <w:ind w:right="-2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4"/>
                <w:szCs w:val="24"/>
              </w:rPr>
              <w:t>ГОСТ Р МЭК 60666,</w:t>
            </w:r>
          </w:p>
          <w:p w:rsidR="00916253" w:rsidRDefault="00E215E5">
            <w:pPr>
              <w:widowControl w:val="0"/>
              <w:ind w:right="-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Методике выполнения измерений массовой доли ингибитора окисления 2.6-дибутил-4-метилфенола (Агидол-1) в турбинных маслах АЭС. Свидетельство об аттестации № 01.00225/205-35-13 от 11.11.2013,</w:t>
            </w:r>
          </w:p>
          <w:p w:rsidR="00916253" w:rsidRDefault="00E215E5">
            <w:pPr>
              <w:widowControl w:val="0"/>
              <w:ind w:right="-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СТО 56947007-29.180.010.008-2008 Методические указания по определению содержания ионола в трансформаторных маслах методом газовой хроматографии,</w:t>
            </w:r>
          </w:p>
          <w:p w:rsidR="00916253" w:rsidRDefault="00E215E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СТО 70238424.27.100.053 прил. К «Энергетические масла и маслохозяйства. Электрических станций и сетей. Условия поставки. Нормы и требования».</w:t>
            </w:r>
          </w:p>
          <w:p w:rsidR="00916253" w:rsidRDefault="00E215E5">
            <w:pPr>
              <w:widowControl w:val="0"/>
              <w:ind w:right="-2"/>
              <w:jc w:val="both"/>
              <w:rPr>
                <w:bCs/>
              </w:rPr>
            </w:pPr>
            <w:r>
              <w:rPr>
                <w:bCs/>
                <w:sz w:val="24"/>
                <w:szCs w:val="24"/>
              </w:rPr>
              <w:t>- Методике выполнения измерений массовой доли присадки «АГИДОЛ-1» (2.6-дибутилпаракрезол) в образцах минеральных энергетических масел. Свидетельство об аттестации № 76-09 от 17.11.2009, код регистрации в Федеральном реестре методик измерений — ФР.1.31.2010.08903;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916253" w:rsidRDefault="0091625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</w:pPr>
            <w:r>
              <w:rPr>
                <w:sz w:val="24"/>
                <w:szCs w:val="24"/>
              </w:rPr>
              <w:t>Тр-р 3АТГ фаза В напряж. 500 кВ, тр-р 3АТГ фаза С напряж. 500 кВ, тр-р 5АТ напряж. 220 кВ, тр-р 6АТ напряж. 220 кВ, тр-р 2-3АТГ резервная фаза напряж. 500 кВ и 7-мь фаз шунтирующего реактора напряж. 500 кВ.</w:t>
            </w:r>
          </w:p>
        </w:tc>
      </w:tr>
      <w:tr w:rsidR="00916253">
        <w:tc>
          <w:tcPr>
            <w:tcW w:w="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0"/>
            </w:pPr>
            <w:r>
              <w:t>1.2.</w:t>
            </w:r>
          </w:p>
        </w:tc>
        <w:tc>
          <w:tcPr>
            <w:tcW w:w="3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содержания </w:t>
            </w:r>
            <w:r>
              <w:rPr>
                <w:bCs/>
                <w:sz w:val="24"/>
                <w:szCs w:val="24"/>
              </w:rPr>
              <w:t xml:space="preserve">фурановых производных </w:t>
            </w:r>
            <w:r>
              <w:rPr>
                <w:sz w:val="24"/>
                <w:szCs w:val="24"/>
              </w:rPr>
              <w:t>(в том числе фурфурола) по:</w:t>
            </w:r>
          </w:p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3"/>
                <w:szCs w:val="23"/>
              </w:rPr>
              <w:t>СТО 56947007-29.180.010.009.2008 «</w:t>
            </w:r>
            <w:r>
              <w:rPr>
                <w:sz w:val="24"/>
                <w:szCs w:val="24"/>
              </w:rPr>
              <w:t>Методические указания по определению содержания фурановых производных в трансформаторных маслах методом газовой хроматографии».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7-мь фаз шунтирующего реактора напряж. 500 кВ</w:t>
            </w:r>
          </w:p>
        </w:tc>
      </w:tr>
      <w:tr w:rsidR="00916253"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0"/>
            </w:pPr>
            <w:r>
              <w:t>1.3.</w:t>
            </w:r>
          </w:p>
        </w:tc>
        <w:tc>
          <w:tcPr>
            <w:tcW w:w="3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стабильности против окисления по ГОСТ 981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1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Свежее масло из бочек (при </w:t>
            </w:r>
            <w:r>
              <w:rPr>
                <w:sz w:val="24"/>
                <w:szCs w:val="24"/>
              </w:rPr>
              <w:lastRenderedPageBreak/>
              <w:t>поступлении)</w:t>
            </w:r>
          </w:p>
        </w:tc>
      </w:tr>
      <w:tr w:rsidR="00916253"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0"/>
            </w:pPr>
            <w:r>
              <w:lastRenderedPageBreak/>
              <w:t>1.4.</w:t>
            </w:r>
          </w:p>
        </w:tc>
        <w:tc>
          <w:tcPr>
            <w:tcW w:w="3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коррозии на стальных стержнях по ГОСТ 19199</w:t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1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Свежее масло из бочек (при поступлении)</w:t>
            </w:r>
          </w:p>
        </w:tc>
      </w:tr>
      <w:tr w:rsidR="00916253">
        <w:tc>
          <w:tcPr>
            <w:tcW w:w="6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0"/>
            </w:pPr>
            <w:r>
              <w:t>1.5.</w:t>
            </w:r>
          </w:p>
        </w:tc>
        <w:tc>
          <w:tcPr>
            <w:tcW w:w="3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времени деэмульсации по ГОСТ 12068</w:t>
            </w:r>
          </w:p>
        </w:tc>
        <w:tc>
          <w:tcPr>
            <w:tcW w:w="16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проба</w:t>
            </w:r>
          </w:p>
        </w:tc>
        <w:tc>
          <w:tcPr>
            <w:tcW w:w="15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Свежее масло из бочек (при поступлении)</w:t>
            </w:r>
          </w:p>
        </w:tc>
      </w:tr>
    </w:tbl>
    <w:p w:rsidR="00916253" w:rsidRDefault="00916253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916253" w:rsidRDefault="00E215E5">
      <w:pPr>
        <w:pStyle w:val="3"/>
        <w:ind w:left="720" w:firstLine="0"/>
      </w:pPr>
      <w:r>
        <w:rPr>
          <w:lang w:val="ru-RU"/>
        </w:rPr>
        <w:t xml:space="preserve">2.1.2. </w:t>
      </w:r>
      <w:bookmarkStart w:id="22" w:name="_Toc126309973"/>
      <w:bookmarkStart w:id="23" w:name="_Toc51339696"/>
      <w:r>
        <w:rPr>
          <w:lang w:val="ru-RU"/>
        </w:rPr>
        <w:t xml:space="preserve">Требования </w:t>
      </w:r>
      <w:bookmarkEnd w:id="22"/>
      <w:bookmarkEnd w:id="23"/>
      <w:r>
        <w:rPr>
          <w:lang w:val="ru-RU"/>
        </w:rPr>
        <w:t>к срокам оказания услуг</w:t>
      </w:r>
    </w:p>
    <w:p w:rsidR="00916253" w:rsidRDefault="00E215E5">
      <w:pPr>
        <w:pStyle w:val="ConsPlusNormal"/>
      </w:pPr>
      <w:bookmarkStart w:id="24" w:name="_Toc501251261"/>
      <w:bookmarkStart w:id="25" w:name="_Toc51339697"/>
      <w:bookmarkStart w:id="26" w:name="_Toc50125127"/>
      <w:bookmarkEnd w:id="24"/>
      <w:r>
        <w:rPr>
          <w:rFonts w:ascii="Times New Roman" w:hAnsi="Times New Roman" w:cs="Times New Roman"/>
          <w:sz w:val="24"/>
          <w:szCs w:val="24"/>
        </w:rPr>
        <w:t xml:space="preserve">Таблица 3. </w:t>
      </w:r>
      <w:bookmarkStart w:id="27" w:name="_Hlk50465284"/>
      <w:r>
        <w:rPr>
          <w:rFonts w:ascii="Times New Roman" w:hAnsi="Times New Roman" w:cs="Times New Roman"/>
          <w:sz w:val="24"/>
          <w:szCs w:val="24"/>
        </w:rPr>
        <w:t xml:space="preserve">Требования к срокам </w:t>
      </w:r>
      <w:bookmarkEnd w:id="25"/>
      <w:bookmarkEnd w:id="26"/>
      <w:bookmarkEnd w:id="27"/>
      <w:r>
        <w:rPr>
          <w:rFonts w:ascii="Times New Roman" w:hAnsi="Times New Roman" w:cs="Times New Roman"/>
          <w:sz w:val="24"/>
          <w:szCs w:val="24"/>
        </w:rPr>
        <w:t>оказания услуг</w:t>
      </w:r>
    </w:p>
    <w:p w:rsidR="00916253" w:rsidRDefault="00916253">
      <w:pPr>
        <w:widowControl w:val="0"/>
        <w:tabs>
          <w:tab w:val="left" w:pos="540"/>
        </w:tabs>
        <w:ind w:firstLine="567"/>
        <w:jc w:val="both"/>
        <w:textAlignment w:val="baseline"/>
        <w:rPr>
          <w:shd w:val="clear" w:color="auto" w:fill="FFFF00"/>
        </w:rPr>
      </w:pPr>
    </w:p>
    <w:tbl>
      <w:tblPr>
        <w:tblW w:w="9917" w:type="dxa"/>
        <w:tblInd w:w="88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956"/>
        <w:gridCol w:w="4856"/>
        <w:gridCol w:w="1979"/>
        <w:gridCol w:w="2126"/>
      </w:tblGrid>
      <w:tr w:rsidR="00916253">
        <w:trPr>
          <w:tblHeader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16253">
        <w:trPr>
          <w:tblHeader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16253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  <w:ind w:left="0"/>
            </w:pPr>
            <w:r>
              <w:t>1.1.</w:t>
            </w: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</w:pPr>
            <w:r>
              <w:rPr>
                <w:sz w:val="24"/>
                <w:szCs w:val="24"/>
              </w:rPr>
              <w:t>Определение содержания антиокислительной присадки АГИДОЛ-1(2,6дитретбутил-4-метилфенол) или ионол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</w:pPr>
            <w:r>
              <w:rPr>
                <w:sz w:val="24"/>
                <w:szCs w:val="24"/>
              </w:rPr>
              <w:t>30.08.2026</w:t>
            </w:r>
          </w:p>
        </w:tc>
      </w:tr>
      <w:tr w:rsidR="00916253">
        <w:trPr>
          <w:trHeight w:val="477"/>
        </w:trPr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содержания </w:t>
            </w:r>
            <w:r>
              <w:rPr>
                <w:bCs/>
                <w:sz w:val="24"/>
                <w:szCs w:val="24"/>
              </w:rPr>
              <w:t xml:space="preserve">фурановых производных </w:t>
            </w:r>
            <w:r>
              <w:rPr>
                <w:sz w:val="24"/>
                <w:szCs w:val="24"/>
              </w:rPr>
              <w:t>(в том числе фурфурола)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</w:pPr>
            <w:r>
              <w:rPr>
                <w:sz w:val="24"/>
                <w:szCs w:val="24"/>
              </w:rPr>
              <w:t>30.08.2026</w:t>
            </w:r>
          </w:p>
        </w:tc>
      </w:tr>
      <w:tr w:rsidR="00916253">
        <w:trPr>
          <w:trHeight w:val="477"/>
        </w:trPr>
        <w:tc>
          <w:tcPr>
            <w:tcW w:w="9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</w:pPr>
            <w:r>
              <w:rPr>
                <w:bCs/>
                <w:sz w:val="24"/>
                <w:szCs w:val="24"/>
              </w:rPr>
              <w:t>Определение стабильности против окисления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 w:rsidP="00E215E5">
            <w:pPr>
              <w:widowControl w:val="0"/>
              <w:tabs>
                <w:tab w:val="left" w:pos="540"/>
              </w:tabs>
              <w:jc w:val="both"/>
              <w:textAlignment w:val="baseline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.12.2026</w:t>
            </w:r>
          </w:p>
        </w:tc>
      </w:tr>
      <w:tr w:rsidR="00916253">
        <w:tc>
          <w:tcPr>
            <w:tcW w:w="9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8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коррозии на стальных стержнях.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 w:rsidP="00E215E5">
            <w:pPr>
              <w:widowControl w:val="0"/>
              <w:tabs>
                <w:tab w:val="left" w:pos="540"/>
              </w:tabs>
              <w:jc w:val="both"/>
              <w:textAlignment w:val="baseline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.12.2026</w:t>
            </w:r>
          </w:p>
        </w:tc>
      </w:tr>
      <w:tr w:rsidR="00916253">
        <w:tc>
          <w:tcPr>
            <w:tcW w:w="9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8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времени деэмульсации.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widowControl w:val="0"/>
              <w:tabs>
                <w:tab w:val="left" w:pos="540"/>
              </w:tabs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916253" w:rsidRDefault="00E215E5" w:rsidP="00E215E5">
            <w:pPr>
              <w:widowControl w:val="0"/>
              <w:tabs>
                <w:tab w:val="left" w:pos="540"/>
              </w:tabs>
              <w:jc w:val="both"/>
              <w:textAlignment w:val="baseline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.12.2026</w:t>
            </w:r>
          </w:p>
        </w:tc>
      </w:tr>
    </w:tbl>
    <w:p w:rsidR="00916253" w:rsidRDefault="00916253">
      <w:pPr>
        <w:sectPr w:rsidR="00916253">
          <w:headerReference w:type="default" r:id="rId7"/>
          <w:headerReference w:type="first" r:id="rId8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16253" w:rsidRDefault="00E215E5">
      <w:pPr>
        <w:pStyle w:val="4"/>
        <w:ind w:left="432" w:firstLine="0"/>
      </w:pPr>
      <w:r>
        <w:lastRenderedPageBreak/>
        <w:t xml:space="preserve">2.2. </w:t>
      </w:r>
      <w:bookmarkStart w:id="28" w:name="_Toc46743511"/>
      <w:bookmarkStart w:id="29" w:name="_Toc126309974"/>
      <w:r>
        <w:t xml:space="preserve">Требования к </w:t>
      </w:r>
      <w:bookmarkEnd w:id="28"/>
      <w:bookmarkEnd w:id="29"/>
      <w:r>
        <w:rPr>
          <w:lang w:val="ru-RU"/>
        </w:rPr>
        <w:t>качеству услуг</w:t>
      </w:r>
    </w:p>
    <w:p w:rsidR="00916253" w:rsidRDefault="00E215E5">
      <w:pPr>
        <w:pStyle w:val="ConsPlusNormal"/>
      </w:pPr>
      <w:bookmarkStart w:id="30" w:name="_Toc51339698"/>
      <w:r>
        <w:rPr>
          <w:rFonts w:ascii="Times New Roman" w:hAnsi="Times New Roman" w:cs="Times New Roman"/>
          <w:color w:val="302709"/>
          <w:sz w:val="24"/>
          <w:szCs w:val="24"/>
        </w:rPr>
        <w:t xml:space="preserve">Таблица 4. Требования к </w:t>
      </w:r>
      <w:bookmarkEnd w:id="30"/>
      <w:r>
        <w:rPr>
          <w:rFonts w:ascii="Times New Roman" w:hAnsi="Times New Roman" w:cs="Times New Roman"/>
          <w:color w:val="302709"/>
          <w:sz w:val="24"/>
          <w:szCs w:val="24"/>
        </w:rPr>
        <w:t xml:space="preserve">качеству услуг </w:t>
      </w:r>
    </w:p>
    <w:tbl>
      <w:tblPr>
        <w:tblW w:w="14885" w:type="dxa"/>
        <w:tblInd w:w="8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3739"/>
        <w:gridCol w:w="2669"/>
        <w:gridCol w:w="2615"/>
        <w:gridCol w:w="2743"/>
      </w:tblGrid>
      <w:tr w:rsidR="00916253" w:rsidTr="00E215E5">
        <w:trPr>
          <w:tblHeader/>
        </w:trPr>
        <w:tc>
          <w:tcPr>
            <w:tcW w:w="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16253" w:rsidTr="00E215E5">
        <w:trPr>
          <w:tblHeader/>
        </w:trPr>
        <w:tc>
          <w:tcPr>
            <w:tcW w:w="8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widowControl w:val="0"/>
            </w:pPr>
          </w:p>
        </w:tc>
        <w:tc>
          <w:tcPr>
            <w:tcW w:w="2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widowControl w:val="0"/>
            </w:pPr>
          </w:p>
        </w:tc>
        <w:tc>
          <w:tcPr>
            <w:tcW w:w="37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widowControl w:val="0"/>
            </w:pP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widowControl w:val="0"/>
            </w:pPr>
          </w:p>
        </w:tc>
      </w:tr>
      <w:tr w:rsidR="00916253" w:rsidTr="00E215E5">
        <w:trPr>
          <w:tblHeader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bookmarkStart w:id="31" w:name="_Toc53499667"/>
            <w:bookmarkEnd w:id="31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1.1.1.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Доставка проб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540"/>
              </w:tabs>
              <w:textAlignment w:val="baseline"/>
              <w:rPr>
                <w:color w:val="30270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Доставка отобранных проб масла до лаборатории Исполнителя за счет услуг Исполнителя.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ffc"/>
              <w:keepNext w:val="0"/>
              <w:widowControl w:val="0"/>
              <w:spacing w:before="0"/>
              <w:outlineLvl w:val="2"/>
              <w:rPr>
                <w:color w:val="000000"/>
              </w:rPr>
            </w:pPr>
            <w:bookmarkStart w:id="32" w:name="_Toc126309975"/>
            <w:bookmarkEnd w:id="32"/>
            <w:r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1.2.1.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60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Требования к используемым приборам и оборудованию при проведении анализов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343"/>
              </w:tabs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Средства измерения должны быть поверены в установленном порядке.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916253">
            <w:pPr>
              <w:pStyle w:val="afb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1.3.1.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310"/>
              </w:tabs>
              <w:ind w:right="62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Наличие опыта оказания услуг </w:t>
            </w:r>
            <w:r>
              <w:rPr>
                <w:bCs/>
                <w:color w:val="000000"/>
                <w:sz w:val="24"/>
                <w:szCs w:val="24"/>
              </w:rPr>
              <w:t xml:space="preserve">по выполнению анализов масла </w:t>
            </w:r>
            <w:r>
              <w:rPr>
                <w:color w:val="000000"/>
                <w:sz w:val="24"/>
                <w:szCs w:val="24"/>
              </w:rPr>
              <w:t xml:space="preserve">за последние 3 (три) года, предшествующие дате окончания срока подачи предложений на участие в  закупке, Участником должны быть исполнены обязательства (оказаны указанные услуги) не менее чем </w:t>
            </w:r>
            <w:r>
              <w:rPr>
                <w:color w:val="000000"/>
                <w:sz w:val="24"/>
                <w:szCs w:val="24"/>
              </w:rPr>
              <w:lastRenderedPageBreak/>
              <w:t>по трем договорам в общем/совокупном объеме на сумму не менее  100 тыс. руб. без учета НДС. Соответствие установленному требованию подтверждается путем представления участником закупки в составе предложения сведений (в произвольной форме) о ранее выполненных договорах.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</w:t>
            </w: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результатам у</w:t>
            </w:r>
            <w:r>
              <w:rPr>
                <w:b/>
                <w:color w:val="000000"/>
                <w:sz w:val="24"/>
                <w:szCs w:val="24"/>
              </w:rPr>
              <w:t>слуг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2.1.</w:t>
            </w: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spacing w:before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b"/>
              <w:widowControl w:val="0"/>
            </w:pPr>
            <w:r>
              <w:t xml:space="preserve">       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2.1.1.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widowControl w:val="0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Исполнитель передает заказчику:</w:t>
            </w:r>
          </w:p>
          <w:p w:rsidR="00916253" w:rsidRDefault="00E215E5">
            <w:pPr>
              <w:widowControl w:val="0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акт приемки-сдачи оказанных услуг в двух экземплярах;</w:t>
            </w:r>
          </w:p>
          <w:p w:rsidR="00916253" w:rsidRDefault="00E215E5">
            <w:pPr>
              <w:widowControl w:val="0"/>
              <w:rPr>
                <w:highlight w:val="white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протокол лабораторных испытаний на каждую единицу пробы.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jc w:val="center"/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E215E5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215E5" w:rsidRDefault="00E215E5" w:rsidP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2.1.2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5E5" w:rsidRDefault="00E215E5" w:rsidP="00E215E5">
            <w:pPr>
              <w:widowControl w:val="0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Срок предоставления протоколов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215E5" w:rsidRDefault="00E215E5" w:rsidP="00E215E5">
            <w:pPr>
              <w:widowControl w:val="0"/>
              <w:tabs>
                <w:tab w:val="left" w:pos="343"/>
              </w:tabs>
              <w:rPr>
                <w:highlight w:val="white"/>
              </w:rPr>
            </w:pP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Протоколы лабораторных испытаний должны предоставляться в срок не более 10 календарных дней с момента доставки пробы.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5E5" w:rsidRDefault="00E215E5" w:rsidP="00E215E5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5E5" w:rsidRDefault="00E215E5" w:rsidP="00E215E5">
            <w:pPr>
              <w:widowControl w:val="0"/>
              <w:jc w:val="center"/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15E5" w:rsidRDefault="00E215E5" w:rsidP="00E215E5">
            <w:pPr>
              <w:keepNext/>
              <w:widowControl w:val="0"/>
              <w:spacing w:before="60" w:after="60"/>
              <w:jc w:val="center"/>
              <w:rPr>
                <w:color w:val="000000"/>
              </w:rPr>
            </w:pP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0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keepNext/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lastRenderedPageBreak/>
              <w:t>3.1.1.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Требование к исполнителю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341"/>
              </w:tabs>
              <w:ind w:right="62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Оказание услуг осуществляется организациями, для которых данный вид деятельности  (выполнение анализов ) предусмотрен уставом.</w:t>
            </w:r>
          </w:p>
          <w:p w:rsidR="00916253" w:rsidRDefault="00E215E5">
            <w:pPr>
              <w:widowControl w:val="0"/>
              <w:tabs>
                <w:tab w:val="left" w:pos="341"/>
              </w:tabs>
              <w:ind w:right="62"/>
              <w:rPr>
                <w:highlight w:val="white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Организация должна иметь аккредитацию в Национальной системе аккредитации по федеральному закону №412-ФЗ «Об аккредитации в Национальной системе аккредитации».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ffc"/>
              <w:keepNext w:val="0"/>
              <w:widowControl w:val="0"/>
              <w:spacing w:before="0"/>
              <w:outlineLvl w:val="2"/>
            </w:pPr>
            <w:bookmarkStart w:id="33" w:name="_Toc126309977"/>
            <w:bookmarkEnd w:id="33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916253" w:rsidTr="00E215E5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16253" w:rsidRDefault="00E215E5">
            <w:pPr>
              <w:pStyle w:val="afb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3.1.2.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соисполнителям, привлекаемым к оказанию услуг</w:t>
            </w:r>
          </w:p>
        </w:tc>
        <w:tc>
          <w:tcPr>
            <w:tcW w:w="3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tabs>
                <w:tab w:val="left" w:pos="343"/>
              </w:tabs>
              <w:ind w:right="6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случае привлечения и (или) замены соисполнителя при оказании услуг, требуется обязательное письменное согласование Заказчика.</w:t>
            </w:r>
          </w:p>
        </w:tc>
        <w:tc>
          <w:tcPr>
            <w:tcW w:w="2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E215E5">
            <w:pPr>
              <w:pStyle w:val="afffc"/>
              <w:keepNext w:val="0"/>
              <w:widowControl w:val="0"/>
              <w:spacing w:before="0"/>
              <w:outlineLvl w:val="2"/>
            </w:pPr>
            <w:bookmarkStart w:id="34" w:name="_Toc126309978"/>
            <w:bookmarkEnd w:id="34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16253" w:rsidRDefault="00916253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16253" w:rsidRDefault="00916253">
      <w:pPr>
        <w:rPr>
          <w:sz w:val="24"/>
          <w:szCs w:val="24"/>
        </w:rPr>
      </w:pPr>
    </w:p>
    <w:p w:rsidR="00916253" w:rsidRDefault="00916253">
      <w:bookmarkStart w:id="35" w:name="_GoBack"/>
      <w:bookmarkEnd w:id="35"/>
    </w:p>
    <w:sectPr w:rsidR="00916253">
      <w:headerReference w:type="default" r:id="rId9"/>
      <w:headerReference w:type="first" r:id="rId10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4A" w:rsidRDefault="00E215E5">
      <w:r>
        <w:separator/>
      </w:r>
    </w:p>
  </w:endnote>
  <w:endnote w:type="continuationSeparator" w:id="0">
    <w:p w:rsidR="00DF014A" w:rsidRDefault="00E2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4A" w:rsidRDefault="00E215E5">
      <w:r>
        <w:separator/>
      </w:r>
    </w:p>
  </w:footnote>
  <w:footnote w:type="continuationSeparator" w:id="0">
    <w:p w:rsidR="00DF014A" w:rsidRDefault="00E2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53" w:rsidRDefault="00E215E5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7D600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53" w:rsidRDefault="00916253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53" w:rsidRDefault="00E215E5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7D6007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253" w:rsidRDefault="00916253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B70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48E2500"/>
    <w:multiLevelType w:val="multilevel"/>
    <w:tmpl w:val="47AAA3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F1857EC"/>
    <w:multiLevelType w:val="multilevel"/>
    <w:tmpl w:val="66125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5D7E8F"/>
    <w:multiLevelType w:val="multilevel"/>
    <w:tmpl w:val="1A2ED03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253"/>
    <w:rsid w:val="007D6007"/>
    <w:rsid w:val="00916253"/>
    <w:rsid w:val="00DF014A"/>
    <w:rsid w:val="00E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14E5"/>
  <w15:docId w15:val="{086AF367-E2E9-4E21-93E2-2EB7ED10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rPr>
      <w:color w:val="0563C1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</w:style>
  <w:style w:type="paragraph" w:styleId="aff7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8">
    <w:name w:val="List"/>
    <w:basedOn w:val="af9"/>
  </w:style>
  <w:style w:type="paragraph" w:styleId="af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a">
    <w:name w:val="index heading"/>
    <w:basedOn w:val="aff7"/>
  </w:style>
  <w:style w:type="paragraph" w:customStyle="1" w:styleId="caption1">
    <w:name w:val="caption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7"/>
    <w:qFormat/>
  </w:style>
  <w:style w:type="paragraph" w:customStyle="1" w:styleId="affb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c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d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rPr>
      <w:sz w:val="20"/>
      <w:szCs w:val="20"/>
    </w:rPr>
  </w:style>
  <w:style w:type="paragraph" w:customStyle="1" w:styleId="17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"/>
    <w:pPr>
      <w:ind w:left="360"/>
    </w:pPr>
    <w:rPr>
      <w:sz w:val="24"/>
      <w:szCs w:val="24"/>
    </w:rPr>
  </w:style>
  <w:style w:type="paragraph" w:styleId="afff0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1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"/>
    <w:next w:val="a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next w:val="a"/>
    <w:autoRedefine/>
    <w:pPr>
      <w:ind w:left="280"/>
    </w:pPr>
    <w:rPr>
      <w:rFonts w:cs="Calibri"/>
      <w:sz w:val="20"/>
      <w:szCs w:val="20"/>
    </w:rPr>
  </w:style>
  <w:style w:type="paragraph" w:customStyle="1" w:styleId="afff2">
    <w:name w:val="Раздел регламента"/>
    <w:basedOn w:val="a"/>
    <w:qFormat/>
  </w:style>
  <w:style w:type="paragraph" w:customStyle="1" w:styleId="afff3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5">
    <w:name w:val="annotation subject"/>
    <w:basedOn w:val="aff2"/>
    <w:qFormat/>
    <w:rPr>
      <w:b/>
      <w:bCs/>
    </w:rPr>
  </w:style>
  <w:style w:type="paragraph" w:customStyle="1" w:styleId="19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e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0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1">
    <w:name w:val="Таблица текст"/>
    <w:basedOn w:val="a"/>
    <w:qFormat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e">
    <w:name w:val="Содержимое врезки"/>
    <w:basedOn w:val="a"/>
    <w:link w:val="afd"/>
    <w:qFormat/>
  </w:style>
  <w:style w:type="paragraph" w:customStyle="1" w:styleId="affff3">
    <w:name w:val="Содержимое таблицы"/>
    <w:basedOn w:val="a"/>
    <w:qFormat/>
    <w:pPr>
      <w:widowControl w:val="0"/>
      <w:suppressLineNumbers/>
    </w:p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numbering" w:customStyle="1" w:styleId="1c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11</Pages>
  <Words>2209</Words>
  <Characters>12595</Characters>
  <Application>Microsoft Office Word</Application>
  <DocSecurity>0</DocSecurity>
  <Lines>104</Lines>
  <Paragraphs>29</Paragraphs>
  <ScaleCrop>false</ScaleCrop>
  <Company>Microsoft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Кабанова Елена Николаевна</cp:lastModifiedBy>
  <cp:revision>34</cp:revision>
  <cp:lastPrinted>2025-02-25T17:26:00Z</cp:lastPrinted>
  <dcterms:created xsi:type="dcterms:W3CDTF">2023-02-09T03:45:00Z</dcterms:created>
  <dcterms:modified xsi:type="dcterms:W3CDTF">2026-05-14T11:08:00Z</dcterms:modified>
  <dc:language>ru-RU</dc:language>
</cp:coreProperties>
</file>