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7.xml" ContentType="application/vnd.openxmlformats-officedocument.wordprocessingml.header+xml"/>
  <Override PartName="/word/styles.xml" ContentType="application/vnd.openxmlformats-officedocument.wordprocessingml.styl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10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УТВЕРЖДАЮ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</w:t>
      </w:r>
      <w:r>
        <w:rPr>
          <w:b/>
          <w:bCs/>
          <w:sz w:val="24"/>
          <w:szCs w:val="24"/>
        </w:rPr>
        <w:t>_____________</w:t>
      </w:r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«____»________________202_ г.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ind w:firstLine="708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Нижний Новгород</w:t>
      </w:r>
    </w:p>
    <w:p>
      <w:pPr>
        <w:pStyle w:val="Normal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rStyle w:val="Style8"/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Лот №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закупаемых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услуге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r>
            <w:rPr/>
            <w:t xml:space="preserve">     </w:t>
          </w: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5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2. Требования к качеству услуг</w:t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</w:rPr>
              <w:t>Требования к участникам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54643712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i/>
            </w:rPr>
            <w:t>9</w:t>
          </w:r>
          <w:r>
            <w:rPr>
              <w:i/>
            </w:rPr>
            <w:fldChar w:fldCharType="end"/>
          </w:r>
        </w:p>
      </w:sdtContent>
    </w:sdt>
    <w:p>
      <w:pPr>
        <w:pStyle w:val="TOC1"/>
        <w:rPr>
          <w:caps/>
        </w:rPr>
      </w:pPr>
      <w:r>
        <w:rPr/>
        <w:t xml:space="preserve">5. Приложение…………………………………………………………………………………………9 </w:t>
      </w:r>
      <w:bookmarkStart w:id="0" w:name="_Toc54643694"/>
      <w:r>
        <w:br w:type="page"/>
      </w:r>
    </w:p>
    <w:p>
      <w:pPr>
        <w:pStyle w:val="Normal"/>
        <w:rPr>
          <w:caps/>
        </w:rPr>
      </w:pPr>
      <w:r>
        <w:rPr/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trHeight w:val="389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120" w:after="120"/>
        <w:jc w:val="both"/>
        <w:rPr>
          <w:b w:val="false"/>
          <w:i/>
          <w:i/>
          <w:shd w:fill="FFFF99" w:val="clear"/>
        </w:rPr>
      </w:pPr>
      <w:bookmarkStart w:id="3" w:name="_Toc54643696"/>
      <w:r>
        <w:rPr/>
        <w:t xml:space="preserve">Наименование закупаемых </w:t>
      </w:r>
      <w:bookmarkStart w:id="4" w:name="_Toc46743507"/>
      <w:bookmarkEnd w:id="3"/>
      <w:r>
        <w:rPr>
          <w:lang w:val="ru-RU"/>
        </w:rPr>
        <w:t>услуг</w:t>
      </w:r>
    </w:p>
    <w:p>
      <w:pPr>
        <w:pStyle w:val="Heading4"/>
        <w:numPr>
          <w:ilvl w:val="0"/>
          <w:numId w:val="0"/>
        </w:numPr>
        <w:ind w:left="0" w:firstLine="431"/>
        <w:jc w:val="both"/>
        <w:rPr/>
      </w:pPr>
      <w:r>
        <w:rPr>
          <w:rStyle w:val="Style8"/>
          <w:b w:val="false"/>
          <w:i w:val="false"/>
          <w:iCs w:val="false"/>
          <w:shd w:fill="auto" w:val="clear"/>
        </w:rPr>
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Н.Новгород.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r>
        <w:rPr/>
        <w:t xml:space="preserve">Цель </w:t>
      </w:r>
      <w:bookmarkEnd w:id="4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Normal"/>
        <w:ind w:firstLine="431"/>
        <w:jc w:val="both"/>
        <w:rPr>
          <w:rFonts w:eastAsia="Calibri"/>
          <w:sz w:val="24"/>
          <w:szCs w:val="24"/>
          <w:lang w:eastAsia="x-none"/>
        </w:rPr>
      </w:pPr>
      <w:bookmarkStart w:id="6" w:name="_Toc54643699"/>
      <w:r>
        <w:rPr>
          <w:bCs/>
          <w:sz w:val="24"/>
          <w:szCs w:val="24"/>
        </w:rPr>
        <w:t>Целью предсменных, предрейсовых и послесменных,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пассажиров, а именно: выявление у водителя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7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01"/>
        <w:gridCol w:w="4061"/>
        <w:gridCol w:w="3225"/>
        <w:gridCol w:w="1712"/>
      </w:tblGrid>
      <w:tr>
        <w:trPr>
          <w:trHeight w:val="691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>
          <w:trHeight w:val="228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732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АО «ТК РусГидро»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Центральный филиал Нижегородский транспортный участок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bCs/>
                <w:color w:val="000000"/>
                <w:spacing w:val="-7"/>
                <w:sz w:val="24"/>
                <w:szCs w:val="24"/>
              </w:rPr>
              <w:t>г. Нижний Новгород,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Times New Roman" w:cs="Times New Roman"/>
                <w:bCs/>
                <w:color w:val="000000"/>
                <w:spacing w:val="-7"/>
                <w:sz w:val="24"/>
                <w:szCs w:val="24"/>
              </w:rPr>
              <w:t>пер. Мотальный, д. 8.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sz w:val="24"/>
          <w:szCs w:val="24"/>
        </w:rPr>
      </w:pPr>
      <w:bookmarkStart w:id="7" w:name="_Toc54643702"/>
      <w:bookmarkStart w:id="8" w:name="_Toc51339693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7"/>
      <w:bookmarkEnd w:id="8"/>
      <w:r>
        <w:rPr>
          <w:iCs/>
          <w:sz w:val="24"/>
          <w:szCs w:val="24"/>
        </w:rPr>
        <w:t>услугам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9"/>
    </w:p>
    <w:p>
      <w:pPr>
        <w:pStyle w:val="Heading3"/>
        <w:numPr>
          <w:ilvl w:val="0"/>
          <w:numId w:val="0"/>
        </w:numPr>
        <w:spacing w:before="0" w:after="0"/>
        <w:ind w:left="0" w:right="0" w:hanging="0"/>
        <w:rPr>
          <w:bCs/>
        </w:rPr>
      </w:pPr>
      <w:r>
        <w:rPr>
          <w:b/>
          <w:lang w:val="ru-RU"/>
        </w:rPr>
        <w:t>2.1.1. Перечень и объем закупаемых Услуг</w:t>
      </w:r>
    </w:p>
    <w:p>
      <w:pPr>
        <w:pStyle w:val="Normal"/>
        <w:numPr>
          <w:ilvl w:val="0"/>
          <w:numId w:val="0"/>
        </w:numPr>
        <w:spacing w:before="0" w:after="0"/>
        <w:ind w:left="0" w:right="0" w:hanging="0"/>
        <w:rPr>
          <w:bCs/>
          <w:sz w:val="24"/>
          <w:szCs w:val="28"/>
        </w:rPr>
      </w:pPr>
      <w:r>
        <w:rPr>
          <w:bCs/>
          <w:sz w:val="24"/>
          <w:szCs w:val="28"/>
        </w:rPr>
        <w:t>Таблица 2.1 1. Перечень и объем закупаемых Услуг</w:t>
      </w:r>
    </w:p>
    <w:tbl>
      <w:tblPr>
        <w:tblW w:w="9795" w:type="dxa"/>
        <w:jc w:val="left"/>
        <w:tblInd w:w="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4161"/>
        <w:gridCol w:w="2238"/>
        <w:gridCol w:w="1357"/>
        <w:gridCol w:w="1418"/>
      </w:tblGrid>
      <w:tr>
        <w:trPr>
          <w:trHeight w:val="715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Услуг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</w:t>
            </w:r>
          </w:p>
        </w:tc>
      </w:tr>
      <w:tr>
        <w:trPr>
          <w:trHeight w:val="416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x-none"/>
              </w:rPr>
              <w:t>Предсменный, предрейсовый медицинский осмотр водителей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осмотр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506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1 012</w:t>
            </w:r>
          </w:p>
        </w:tc>
      </w:tr>
      <w:tr>
        <w:trPr>
          <w:trHeight w:val="416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2.</w:t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x-none" w:bidi="ar-SA"/>
              </w:rPr>
              <w:t>Послесменный, послерейсовый медицинский осмотр водителей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осмотр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506</w:t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8"/>
          <w:lang w:eastAsia="x-none"/>
        </w:rPr>
      </w:pPr>
      <w:r>
        <w:rPr>
          <w:sz w:val="24"/>
          <w:szCs w:val="28"/>
          <w:lang w:eastAsia="x-none"/>
        </w:rPr>
        <w:t>Таблица 2.1.2 Требования к срокам оказания Услуг</w:t>
      </w:r>
    </w:p>
    <w:tbl>
      <w:tblPr>
        <w:tblW w:w="968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4"/>
        <w:gridCol w:w="4795"/>
        <w:gridCol w:w="2108"/>
        <w:gridCol w:w="2080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firstLine="4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43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Н. Новгород.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31.1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</w:tbl>
    <w:p>
      <w:pPr>
        <w:pStyle w:val="Heading3"/>
        <w:keepLines/>
        <w:numPr>
          <w:ilvl w:val="0"/>
          <w:numId w:val="0"/>
        </w:numPr>
        <w:spacing w:before="240" w:after="60"/>
        <w:ind w:left="0" w:hanging="0"/>
        <w:rPr/>
      </w:pPr>
      <w:bookmarkStart w:id="10" w:name="_Toc54643704"/>
      <w:r>
        <w:rPr>
          <w:lang w:val="ru-RU"/>
        </w:rPr>
        <w:t>2.2. Требования к перечню и объему услуг</w:t>
      </w:r>
      <w:bookmarkStart w:id="11" w:name="_Toc50125131"/>
      <w:bookmarkEnd w:id="10"/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bookmarkStart w:id="12" w:name="sub_203"/>
      <w:r>
        <w:rPr>
          <w:rFonts w:eastAsia="Calibri"/>
          <w:sz w:val="24"/>
          <w:szCs w:val="24"/>
          <w:lang w:eastAsia="x-none"/>
        </w:rPr>
        <w:t>2.2.1. Медицинские осмотры проводятся медицинским</w:t>
      </w:r>
      <w:bookmarkEnd w:id="12"/>
      <w:r>
        <w:rPr>
          <w:rFonts w:eastAsia="Calibri"/>
          <w:sz w:val="24"/>
          <w:szCs w:val="24"/>
          <w:lang w:eastAsia="x-none"/>
        </w:rPr>
        <w:t xml:space="preserve"> работником на территории Исполнителя.</w:t>
      </w:r>
    </w:p>
    <w:p>
      <w:pPr>
        <w:pStyle w:val="Normal"/>
        <w:ind w:firstLine="708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bookmarkStart w:id="13" w:name="sub_204"/>
      <w:r>
        <w:rPr>
          <w:rFonts w:eastAsia="Calibri"/>
          <w:sz w:val="24"/>
          <w:szCs w:val="24"/>
          <w:lang w:eastAsia="x-none"/>
        </w:rPr>
        <w:t>2.2.2. Медицинские осмотры включает проведение медицинским</w:t>
      </w:r>
      <w:bookmarkEnd w:id="13"/>
      <w:r>
        <w:rPr>
          <w:rFonts w:eastAsia="Calibri"/>
          <w:sz w:val="24"/>
          <w:szCs w:val="24"/>
          <w:lang w:eastAsia="x-none"/>
        </w:rPr>
        <w:t xml:space="preserve"> персоналом Исполнителя следующих мероприятий: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сбор анамнеза;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артериального давления и пульса у водителей;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bookmarkStart w:id="14" w:name="sub_206"/>
      <w:r>
        <w:rPr>
          <w:rFonts w:eastAsia="Calibri"/>
          <w:sz w:val="24"/>
          <w:szCs w:val="24"/>
          <w:lang w:eastAsia="x-none"/>
        </w:rPr>
        <w:t>2.2.3. При решении вопроса о возможности допуска водителя к управлению</w:t>
      </w:r>
      <w:bookmarkEnd w:id="14"/>
      <w:r>
        <w:rPr>
          <w:rFonts w:eastAsia="Calibri"/>
          <w:sz w:val="24"/>
          <w:szCs w:val="24"/>
          <w:lang w:eastAsia="x-none"/>
        </w:rPr>
        <w:t xml:space="preserve"> автомобилем медицинский работник Исполнителя, проводящий медицинские осмотры,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>
      <w:pPr>
        <w:pStyle w:val="Normal"/>
        <w:ind w:firstLine="708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bookmarkStart w:id="15" w:name="sub_207"/>
      <w:r>
        <w:rPr>
          <w:rFonts w:eastAsia="Calibri"/>
          <w:sz w:val="24"/>
          <w:szCs w:val="24"/>
          <w:lang w:eastAsia="x-none"/>
        </w:rPr>
        <w:t>2.2.4. Водители не допускаются к управлению автомобилем в следующих</w:t>
      </w:r>
      <w:bookmarkEnd w:id="15"/>
      <w:r>
        <w:rPr>
          <w:rFonts w:eastAsia="Calibri"/>
          <w:sz w:val="24"/>
          <w:szCs w:val="24"/>
          <w:lang w:eastAsia="x-none"/>
        </w:rPr>
        <w:t xml:space="preserve"> случаях: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временной нетрудоспособности;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при выявлении признаков воздействия наркотических веществ;</w:t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     </w:t>
      </w:r>
      <w:r>
        <w:rPr>
          <w:rFonts w:eastAsia="Calibri"/>
          <w:sz w:val="24"/>
          <w:szCs w:val="24"/>
          <w:lang w:eastAsia="x-none"/>
        </w:rPr>
        <w:t>-  при выявлении признаков воздействия лекарственных или иных веществ, отрицательно влияющих на работоспособность водителя.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2.2.5. По результатам предсменного, предрейсового и послесменного, послерейсового медицинских осмотров на путевом листе ставятся штампы "прошел предсменый медицинский осмотр, к исполнению трудовых обязанностей допущен», «прошел послерейсовый медицинский осмотр» и ставится дата и подпись медицинского работника, проводившего медицинский осмотр. </w:t>
      </w:r>
    </w:p>
    <w:p>
      <w:pPr>
        <w:pStyle w:val="Normal"/>
        <w:ind w:firstLine="432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38" w:right="618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/>
      </w:pPr>
      <w:bookmarkStart w:id="16" w:name="sub_209"/>
      <w:r>
        <w:rPr>
          <w:rFonts w:eastAsia="Calibri"/>
          <w:sz w:val="24"/>
          <w:szCs w:val="24"/>
          <w:lang w:eastAsia="x-none"/>
        </w:rPr>
        <w:t>2.2.6. По результатам медицинских осмотро</w:t>
      </w:r>
      <w:bookmarkEnd w:id="16"/>
      <w:r>
        <w:rPr>
          <w:rFonts w:eastAsia="Calibri"/>
          <w:sz w:val="24"/>
          <w:szCs w:val="24"/>
          <w:lang w:eastAsia="x-none"/>
        </w:rPr>
        <w:t>в ведется полицевой учет отстраненных от работы водителей, для чего используются бланки карт амбулаторного больного. В карту заносятся результаты освидетельствования (анамнез, объективные данные осмотра, причина отстранения).</w:t>
      </w:r>
    </w:p>
    <w:p>
      <w:pPr>
        <w:pStyle w:val="Heading4"/>
        <w:numPr>
          <w:ilvl w:val="1"/>
          <w:numId w:val="9"/>
        </w:numPr>
        <w:rPr/>
      </w:pPr>
      <w:bookmarkStart w:id="17" w:name="_Toc54643709"/>
      <w:bookmarkStart w:id="18" w:name="_Toc51339698"/>
      <w:bookmarkStart w:id="19" w:name="_Toc54643708"/>
      <w:bookmarkStart w:id="20" w:name="_Toc46743511"/>
      <w:r>
        <w:rPr/>
        <w:t xml:space="preserve">Требования к </w:t>
      </w:r>
      <w:bookmarkEnd w:id="20"/>
      <w:r>
        <w:rPr>
          <w:lang w:val="ru-RU"/>
        </w:rPr>
        <w:t>качеству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Требования к </w:t>
      </w:r>
      <w:bookmarkEnd w:id="11"/>
      <w:bookmarkEnd w:id="18"/>
      <w:r>
        <w:rPr>
          <w:sz w:val="24"/>
          <w:szCs w:val="24"/>
          <w:lang w:val="ru-RU"/>
        </w:rPr>
        <w:t>качеству услуг</w:t>
      </w:r>
      <w:bookmarkEnd w:id="17"/>
      <w:r>
        <w:rPr>
          <w:sz w:val="24"/>
          <w:szCs w:val="24"/>
        </w:rPr>
        <w:t xml:space="preserve"> </w:t>
      </w:r>
    </w:p>
    <w:p>
      <w:pPr>
        <w:pStyle w:val="Normal"/>
        <w:spacing w:before="0" w:after="113"/>
        <w:rPr>
          <w:rFonts w:eastAsia="Calibri"/>
          <w:sz w:val="24"/>
          <w:szCs w:val="24"/>
          <w:lang w:eastAsia="x-none"/>
        </w:rPr>
      </w:pPr>
      <w:r>
        <w:rPr>
          <w:b/>
          <w:bCs/>
          <w:sz w:val="24"/>
          <w:szCs w:val="24"/>
        </w:rPr>
        <w:t xml:space="preserve">Наименование услуг: </w:t>
      </w:r>
      <w:r>
        <w:rPr>
          <w:rFonts w:eastAsia="Calibri"/>
          <w:b w:val="false"/>
          <w:bCs w:val="false"/>
          <w:sz w:val="24"/>
          <w:szCs w:val="24"/>
          <w:lang w:eastAsia="x-none"/>
        </w:rPr>
        <w:t>ОКПД2 86.21.10.120 «Оказание услуг  по проведению предрейсовых и послерейсовых медицинских осмотров работников для нужд Нижегородского транспортного участка Центрального филиала АО «ТК РусГидро» в г. Н.Новгород.</w:t>
      </w:r>
      <w:r>
        <w:rPr>
          <w:sz w:val="24"/>
          <w:szCs w:val="24"/>
        </w:rPr>
        <w:tab/>
      </w:r>
    </w:p>
    <w:tbl>
      <w:tblPr>
        <w:tblStyle w:val="af"/>
        <w:tblW w:w="151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76"/>
        <w:gridCol w:w="7852"/>
        <w:gridCol w:w="3407"/>
        <w:gridCol w:w="2999"/>
      </w:tblGrid>
      <w:tr>
        <w:trPr/>
        <w:tc>
          <w:tcPr>
            <w:tcW w:w="8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7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40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1" w:name="_Toc53499667_Копия_1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1"/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340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340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должен оказывать медицинские услуги в соответствии с </w:t>
            </w: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Приказом Минздрава России от 30.05.2023 №266н "Об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исследований"</w:t>
            </w:r>
          </w:p>
        </w:tc>
        <w:tc>
          <w:tcPr>
            <w:tcW w:w="340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требованиям, по форме Технического предложения, установленной в Документации о закупке</w:t>
            </w:r>
          </w:p>
        </w:tc>
        <w:tc>
          <w:tcPr>
            <w:tcW w:w="29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Исполнитель оказывает услуги по проведению предсменного, предрейсового и послесменного, послерейсового медицинского осмотра водителей ежедневно с 7 час. 00 мин. до 10 час. 00 мин. и с 18 час. 00 мин. до 21 час. 00 мин., в случае более раннего выезда и позднего заезда обеспечить прохождение медицинского осмотра водителей.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spacing w:before="0"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Услуги по проведению предсменных, предрейсовых и послесменных, послерейсовых медицинских осмотров водителей должен проводиться на расстоянии </w:t>
            </w:r>
            <w:r>
              <w:rPr>
                <w:sz w:val="24"/>
                <w:szCs w:val="24"/>
                <w:u w:val="single"/>
              </w:rPr>
              <w:t>не далее 15 км</w:t>
            </w:r>
            <w:r>
              <w:rPr>
                <w:sz w:val="24"/>
                <w:szCs w:val="24"/>
              </w:rPr>
              <w:t xml:space="preserve"> по дорогам общего пользования от фактического местонахождения </w:t>
            </w:r>
            <w:r>
              <w:rPr>
                <w:color w:val="000000"/>
                <w:sz w:val="24"/>
                <w:szCs w:val="24"/>
              </w:rPr>
              <w:t>водительского состава по адресу: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г. Нижний Новгород, пер. Мотальный, д. 8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2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Наличие стационарного кабинета, оборудованного согласно требований к кабинетам для проведения предсменных, предрейсовых и послесменных, послерейсовых медицинских осмотров.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ежедневно вести журнал «Предсменного, предрейсового и послесменного, послерейсового медицинского осмотра водителей», а также ставить отметку в путевом листе осматриваемого водителя.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60" w:after="0"/>
              <w:jc w:val="both"/>
              <w:rPr/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Журнал ведется на бумажном носителе (страницы которого должны быть прошнурованы, пронумерованы, скреплены печатью Исполнителя), или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Журнала в электронном виде внесенные в него сведения заверяются усиленной квалифицированной электронной подписью, оформленной в соответствии с Федеральным законом от 06.04.2011 № 63-ФЗ «Об электронной подписи».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1.2.3.</w:t>
            </w:r>
          </w:p>
        </w:tc>
        <w:tc>
          <w:tcPr>
            <w:tcW w:w="7852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cs="Times New Roman"/>
                <w:kern w:val="0"/>
                <w:lang w:val="ru-RU" w:eastAsia="ru-RU" w:bidi="ar-SA"/>
              </w:rPr>
              <w:t>При наличии оснований для отстранения от работы по состоянию здоровья: наличие симптомов острого заболевания или обострения хронического заболевания (повышение температуры тела свыше 37°С, жалобы на плохое самочувствие, общую слабость, головную боль и зубную боль, острые заболевания глаз, боли в области уха, грудной или брюшной полости и т.п.), водитель ТС Заказчика направляется в медицинскую организацию или иную организацию, осуществляющую медицинскую деятельность для решения вопроса о наличии у него признаков временной нетрудоспособности  и (или) оказания первичной медико-санитарной помощи.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Если во время проведения предсменного, предрейсового и послесменного, послерейсового медицинского осмотра у водителя ТС Заказчика выявляются признаки состояния, препятствующего выполнению трудовых обязанностей, в том числе алкогольного, наркотического или иного токсического опьянения и (или) остаточных явлений такого опьянения: отклонения в работе сердечно-сосудистой системы (артериальное давление и иные), характерные изменения окраски кожных покровов, слизистых глаз, склер, узкие или широкие зрачки (неадекватные освещению), слабая или отсутствующая реакция зрачков на свет, а также отклонения в поведении, нарушение походки и речи, тремор пальцев рук, век, запах алкоголя изо рта, а также в случае отказа водителя ТС Заказчика от прохождения предсменного, предрейсового и послесменного, послерейсового медицинского осмотра, медицинский работник Исполнителя обязан не допустить водителя ТС Заказчика к исполнению трудовых обязанностей и осуществить необходимые действия в соответствии с Порядком и Методическими рекомендациями.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Медицинский работник Исполнителя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обязан незамедлительно посредством телефонной связи, а также в письменном виде уведомить должностное лицо Заказчика, если при проведении предсменного, предрейсового и послесменного, послерейсового медицинского осмотра у водителя ТС Заказчика были выявлены отклонения в состоянии здоровья, препятствующие управлению транспортным средством или, существуют медицинские причины отстранения водителя Заказчика от управления транспортным средством.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Медицинский работник Исполнителя несет дисциплинарную, а в случаях, предусмотренных законодательством, и иную ответственность за качество проведенного предрейсового, предсменного / послерейсового, послесменного медицинского осмотра и выдачу заключения о допуске водителей ТС Заказчика к управлению транспортными средствами.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785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Для оказания услуг Исполнитель использует своё медицинское оборудование, инструментарий для проведения обследований и процедур, штамп.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Услуги должны быть оказаны своевременно, надлежащего качества, в полном объеме, соответствовать стандартам, которые устанавливают обязательные требования к качеству данного вида услуг.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1.3.2.</w:t>
            </w:r>
          </w:p>
        </w:tc>
        <w:tc>
          <w:tcPr>
            <w:tcW w:w="78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Услуги должны оказываться способом, не причиняющим вреда здоровью, при оказании услуг должен использоваться  не просроченный расходный материал.</w:t>
            </w:r>
          </w:p>
        </w:tc>
        <w:tc>
          <w:tcPr>
            <w:tcW w:w="3407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22" w:name="_Toc54643710"/>
      <w:bookmarkStart w:id="23" w:name="_Toc53393312"/>
      <w:bookmarkStart w:id="24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bookmarkEnd w:id="24"/>
      <w:r>
        <w:rPr>
          <w:sz w:val="24"/>
          <w:szCs w:val="24"/>
          <w:lang w:val="ru-RU"/>
        </w:rPr>
        <w:t xml:space="preserve"> на этапе закупки</w:t>
      </w:r>
      <w:bookmarkEnd w:id="22"/>
    </w:p>
    <w:p>
      <w:pPr>
        <w:pStyle w:val="Heading4"/>
        <w:numPr>
          <w:ilvl w:val="1"/>
          <w:numId w:val="3"/>
        </w:numPr>
        <w:jc w:val="both"/>
        <w:rPr>
          <w:b w:val="false"/>
        </w:rPr>
      </w:pPr>
      <w:r>
        <w:rPr>
          <w:b w:val="false"/>
        </w:rPr>
        <w:t xml:space="preserve">В стоимость услуг входят затраты Исполнителя, связанные с оказанием Услуг, в том числе налоги, сборы, пошлины и другие обязательные платежи, расходы на содержание, эксплуатацию, и прочие расходы, которые Исполнитель оплачивает в соответствии с условиями Договора или на иных основаниях. Цены остаются фиксированными и не подлежат изменению с момента заключения Договора. </w:t>
      </w:r>
    </w:p>
    <w:p>
      <w:pPr>
        <w:pStyle w:val="Heading4"/>
        <w:numPr>
          <w:ilvl w:val="1"/>
          <w:numId w:val="3"/>
        </w:numPr>
        <w:rPr>
          <w:b w:val="false"/>
        </w:rPr>
      </w:pPr>
      <w:r>
        <w:rPr>
          <w:b w:val="false"/>
        </w:rPr>
        <w:t>Расчет стоимости услуг должен быть представлен по форме Приложения № 1 к настоящим техническим требованиям.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Heading1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  <w:lang w:val="ru-RU"/>
        </w:rPr>
        <w:t>Приложения</w:t>
      </w:r>
    </w:p>
    <w:p>
      <w:pPr>
        <w:pStyle w:val="Normal"/>
        <w:rPr>
          <w:i w:val="false"/>
          <w:i w:val="false"/>
          <w:iCs w:val="false"/>
          <w:sz w:val="24"/>
          <w:szCs w:val="28"/>
          <w:u w:val="none"/>
          <w:lang w:eastAsia="x-none"/>
        </w:rPr>
      </w:pPr>
      <w:r>
        <w:rPr>
          <w:i w:val="false"/>
          <w:iCs w:val="false"/>
          <w:sz w:val="24"/>
          <w:szCs w:val="28"/>
          <w:u w:val="none"/>
          <w:lang w:eastAsia="x-none"/>
        </w:rPr>
      </w:r>
    </w:p>
    <w:p>
      <w:pPr>
        <w:pStyle w:val="Normal"/>
        <w:jc w:val="both"/>
        <w:rPr>
          <w:i w:val="false"/>
          <w:i w:val="false"/>
          <w:iCs w:val="false"/>
          <w:sz w:val="24"/>
          <w:szCs w:val="28"/>
          <w:u w:val="none"/>
        </w:rPr>
      </w:pPr>
      <w:bookmarkStart w:id="25" w:name="_Toc46743519"/>
      <w:bookmarkStart w:id="26" w:name="_Toc51339699"/>
      <w:r>
        <w:rPr>
          <w:i w:val="false"/>
          <w:iCs w:val="false"/>
          <w:sz w:val="24"/>
          <w:szCs w:val="28"/>
          <w:u w:val="none"/>
          <w:lang w:eastAsia="x-none"/>
        </w:rPr>
        <w:t xml:space="preserve">Приложение №1: </w:t>
      </w:r>
      <w:bookmarkEnd w:id="25"/>
      <w:bookmarkEnd w:id="26"/>
      <w:r>
        <w:rPr>
          <w:b w:val="false"/>
          <w:bCs w:val="false"/>
          <w:i w:val="false"/>
          <w:iCs w:val="false"/>
          <w:sz w:val="24"/>
          <w:szCs w:val="24"/>
          <w:u w:val="none"/>
          <w:lang w:eastAsia="x-none"/>
        </w:rPr>
        <w:t>Сводная таблица стоимости расценок.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right"/>
        <w:rPr>
          <w:b/>
          <w:bCs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>Приложение № 1 к Техническим Требованиям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Сводная таблица стоимости расценок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4973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5"/>
        <w:gridCol w:w="3896"/>
        <w:gridCol w:w="1069"/>
        <w:gridCol w:w="2138"/>
        <w:gridCol w:w="1283"/>
        <w:gridCol w:w="2368"/>
        <w:gridCol w:w="1506"/>
        <w:gridCol w:w="1906"/>
      </w:tblGrid>
      <w:tr>
        <w:trPr>
          <w:trHeight w:val="1169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Вид работ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Ед. изм.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Стоимость единицы услуги, руб. без НДС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НДС, %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Стоимость единицы услуги, руб. с НДС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Кол-во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Итоговая стоимость руб. с НДС</w:t>
            </w:r>
          </w:p>
        </w:tc>
      </w:tr>
      <w:tr>
        <w:trPr>
          <w:trHeight w:val="224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Предсменный, предрейсовый медицинский осмотр водителей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осмотр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506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Послесменный, послерейсовый медицинский осмотр водителей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осмотр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506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  <w:bookmarkStart w:id="27" w:name="_GoBack"/>
            <w:bookmarkStart w:id="28" w:name="_GoBack"/>
            <w:bookmarkEnd w:id="28"/>
          </w:p>
        </w:tc>
      </w:tr>
      <w:tr>
        <w:trPr>
          <w:trHeight w:val="468" w:hRule="atLeast"/>
        </w:trPr>
        <w:tc>
          <w:tcPr>
            <w:tcW w:w="13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  <w:szCs w:val="24"/>
                <w:lang w:eastAsia="x-none"/>
              </w:rPr>
              <w:t>Итого с НДС (_ %)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  <w:tr>
        <w:trPr>
          <w:trHeight w:val="457" w:hRule="atLeast"/>
        </w:trPr>
        <w:tc>
          <w:tcPr>
            <w:tcW w:w="13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  <w:szCs w:val="24"/>
                <w:lang w:eastAsia="x-none"/>
              </w:rPr>
              <w:t>В том числе НДС (_ %)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/>
      </w:r>
    </w:p>
    <w:sectPr>
      <w:headerReference w:type="default" r:id="rId10"/>
      <w:headerReference w:type="first" r:id="rId11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1FFA2-9A53-42DA-B07F-F1E1DBA4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AlterOffice/3.4.0.9$Linux_X86_64 LibreOffice_project/b8daf9e823b1a5463a2f48435ddc2e8696e7d4fc</Application>
  <AppVersion>15.0000</AppVersion>
  <Pages>9</Pages>
  <Words>1447</Words>
  <Characters>10026</Characters>
  <CharactersWithSpaces>11345</CharactersWithSpaces>
  <Paragraphs>178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2023-07-07T07:34:00Z</dcterms:created>
  <dc:creator>Быстров Олег Геннадьевич</dc:creator>
  <dc:description/>
  <dc:language>ru-RU</dc:language>
  <cp:lastModifiedBy>kurzyakovaym@corp.gidroogk.com</cp:lastModifiedBy>
  <cp:lastPrinted>2023-04-06T11:39:00Z</cp:lastPrinted>
  <dcterms:modified xsi:type="dcterms:W3CDTF">2026-05-14T16:19:08Z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