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8"/>
        <w:tblW w:w="4950" w:type="pct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2944"/>
        <w:gridCol w:w="6876"/>
      </w:tblGrid>
      <w:tr>
        <w:trPr/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6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Приложение №1 к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запросу технико-коммерческих предложений по лоту 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>8048-ЭКСП ПРОД-2026-Влад ТК РусГидро АО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6926" w:leader="none"/>
        </w:tabs>
        <w:jc w:val="right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6926" w:leader="none"/>
        </w:tabs>
        <w:jc w:val="right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  <w:t xml:space="preserve">ОКПД2 19.20.21 Поставка нефтепродуктов через автомобильные заправочные станции в населенном пункте Углегорск для нужд Сахалинского транспортного участка Владивостокского Представительства АО «ТК РусГидро»     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Лот №</w:t>
      </w:r>
      <w:r>
        <w:rPr>
          <w:i w:val="false"/>
          <w:iCs w:val="false"/>
          <w:sz w:val="24"/>
          <w:szCs w:val="24"/>
        </w:rPr>
        <w:t xml:space="preserve"> </w:t>
      </w:r>
      <w:r>
        <w:rPr>
          <w:b/>
          <w:bCs/>
          <w:i w:val="false"/>
          <w:iCs w:val="false"/>
          <w:sz w:val="24"/>
          <w:szCs w:val="24"/>
        </w:rPr>
        <w:t>8048-ЭКСП ПРОД-2026-Влад ТК РусГидро АО</w:t>
      </w:r>
    </w:p>
    <w:p>
      <w:pPr>
        <w:pStyle w:val="Normal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4"/>
              <w:szCs w:val="2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sz w:val="24"/>
              <w:szCs w:val="2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  <w:sz w:val="24"/>
                <w:szCs w:val="24"/>
              </w:rPr>
              <w:t>1.</w:t>
            </w:r>
            <w:r>
              <w:rPr>
                <w:rStyle w:val="Style14"/>
                <w:rFonts w:eastAsia="新細明體" w:cs="Arial" w:cstheme="minorBidi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Общие сведения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/>
          </w:pPr>
          <w:hyperlink w:anchor="_Toc75446572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использования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vanish w:val="false"/>
                <w:sz w:val="24"/>
                <w:szCs w:val="24"/>
              </w:rPr>
              <w:t>2.</w:t>
            </w:r>
            <w:r>
              <w:rPr>
                <w:rStyle w:val="Style14"/>
                <w:rFonts w:eastAsia="新細明體" w:cs="Arial" w:cstheme="minorBidi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iCs/>
                <w:sz w:val="24"/>
                <w:szCs w:val="24"/>
              </w:rPr>
              <w:t>Требования к продукции</w:t>
            </w:r>
            <w:r>
              <w:rPr>
                <w:rStyle w:val="Style14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поставки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7544657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2.1.1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/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Таблица 1.1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Heading3"/>
            <w:rPr>
              <w:sz w:val="24"/>
              <w:szCs w:val="24"/>
            </w:rPr>
          </w:pPr>
          <w:r>
            <w:rPr>
              <w:b w:val="false"/>
              <w:sz w:val="24"/>
              <w:szCs w:val="24"/>
              <w:lang w:val="ru-RU"/>
            </w:rPr>
            <w:t xml:space="preserve">2.1.2 </w:t>
          </w:r>
          <w:r>
            <w:rPr>
              <w:b w:val="false"/>
              <w:sz w:val="24"/>
              <w:szCs w:val="24"/>
            </w:rPr>
            <w:t>Требования к срокам поставки продукции …………………………………….………</w:t>
          </w:r>
          <w:r>
            <w:rPr>
              <w:b w:val="false"/>
              <w:sz w:val="24"/>
              <w:szCs w:val="24"/>
              <w:lang w:val="ru-RU"/>
            </w:rPr>
            <w:t>..3</w:t>
          </w:r>
        </w:p>
        <w:p>
          <w:pPr>
            <w:pStyle w:val="Normal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  <w:lang w:val="ru-RU"/>
            </w:rPr>
            <w:t>Таблица 2.1 Требования по срокам поставки продукции……………………………...……….4</w:t>
          </w:r>
        </w:p>
        <w:p>
          <w:pPr>
            <w:pStyle w:val="Normal"/>
            <w:ind w:firstLine="567"/>
            <w:rPr>
              <w:sz w:val="24"/>
              <w:szCs w:val="24"/>
            </w:rPr>
          </w:pPr>
          <w:r>
            <w:rPr>
              <w:rFonts w:eastAsia="新細明體" w:eastAsiaTheme="minorEastAsia"/>
              <w:sz w:val="24"/>
              <w:szCs w:val="24"/>
            </w:rPr>
            <w:t>2.2 Требования к качеству продукции………………………………………………………….4</w:t>
          </w:r>
        </w:p>
        <w:p>
          <w:pPr>
            <w:pStyle w:val="Normal"/>
            <w:ind w:hanging="0"/>
            <w:rPr>
              <w:b/>
              <w:bCs/>
              <w:sz w:val="24"/>
              <w:szCs w:val="24"/>
            </w:rPr>
          </w:pPr>
          <w:r>
            <w:rPr>
              <w:rFonts w:eastAsia="新細明體" w:eastAsiaTheme="minorEastAsia"/>
              <w:b/>
              <w:bCs/>
              <w:sz w:val="24"/>
              <w:szCs w:val="24"/>
            </w:rPr>
            <w:t>Таблица 3 Требования к продукции…………………………………………………………..……4</w:t>
          </w:r>
        </w:p>
        <w:p>
          <w:pPr>
            <w:pStyle w:val="ListParagraph"/>
            <w:numPr>
              <w:ilvl w:val="0"/>
              <w:numId w:val="0"/>
            </w:numPr>
            <w:ind w:left="0" w:hanging="0"/>
            <w:jc w:val="both"/>
            <w:rPr>
              <w:sz w:val="24"/>
              <w:szCs w:val="24"/>
            </w:rPr>
          </w:pPr>
          <w:r>
            <w:rPr>
              <w:b/>
              <w:color w:val="000000" w:themeColor="text1"/>
              <w:sz w:val="24"/>
              <w:szCs w:val="24"/>
            </w:rPr>
            <w:t>3.  Требования к документации по ценообразованию на этапе заключения (исполнения) договора…………………………………………………………………………………...……………6</w:t>
          </w:r>
          <w:r>
            <w:rPr>
              <w:sz w:val="24"/>
              <w:b/>
              <w:szCs w:val="24"/>
              <w:color w:val="000000"/>
            </w:rPr>
            <w:fldChar w:fldCharType="end"/>
          </w:r>
        </w:p>
      </w:sdtContent>
    </w:sdt>
    <w:p>
      <w:pPr>
        <w:pStyle w:val="ListParagraph"/>
        <w:ind w:left="1080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TOC1"/>
        <w:tabs>
          <w:tab w:val="clear" w:pos="709"/>
          <w:tab w:val="right" w:pos="9911" w:leader="dot"/>
        </w:tabs>
        <w:rPr>
          <w:rFonts w:ascii="Times New Roman" w:hAnsi="Times New Roman" w:eastAsia="新細明體" w:cs="Arial" w:cstheme="minorBidi" w:eastAsiaTheme="minorEastAsia"/>
          <w:b w:val="false"/>
          <w:bCs w:val="false"/>
          <w:sz w:val="24"/>
          <w:szCs w:val="24"/>
        </w:rPr>
      </w:pPr>
      <w:r>
        <w:rPr>
          <w:rFonts w:eastAsia="新細明體" w:cs="Arial" w:cstheme="minorBidi" w:eastAsiaTheme="minorEastAsia"/>
          <w:b w:val="false"/>
          <w:bCs w:val="false"/>
          <w:sz w:val="24"/>
          <w:szCs w:val="24"/>
        </w:rPr>
      </w:r>
    </w:p>
    <w:p>
      <w:pPr>
        <w:pStyle w:val="Heading2"/>
        <w:tabs>
          <w:tab w:val="clear" w:pos="0"/>
        </w:tabs>
        <w:ind w:lef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sz w:val="24"/>
          <w:szCs w:val="24"/>
        </w:rPr>
      </w:pPr>
      <w:bookmarkStart w:id="0" w:name="_Toc75446566"/>
      <w:bookmarkStart w:id="1" w:name="_Toc51339692"/>
      <w:r>
        <w:rPr>
          <w:sz w:val="24"/>
          <w:szCs w:val="24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spacing w:before="120" w:after="60"/>
        <w:ind w:left="567" w:hanging="0"/>
        <w:rPr>
          <w:sz w:val="24"/>
          <w:szCs w:val="24"/>
        </w:rPr>
      </w:pPr>
      <w:bookmarkStart w:id="2" w:name="_Toc46743505"/>
      <w:bookmarkStart w:id="3" w:name="_Toc75446567"/>
      <w:r>
        <w:rPr>
          <w:sz w:val="24"/>
          <w:szCs w:val="24"/>
        </w:rPr>
        <w:t>Обозначения и сокращения</w:t>
      </w:r>
      <w:bookmarkEnd w:id="2"/>
      <w:bookmarkEnd w:id="3"/>
    </w:p>
    <w:tbl>
      <w:tblPr>
        <w:tblStyle w:val="affff8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3"/>
        <w:gridCol w:w="8797"/>
      </w:tblGrid>
      <w:tr>
        <w:trPr/>
        <w:tc>
          <w:tcPr>
            <w:tcW w:w="111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ТТ</w:t>
            </w:r>
          </w:p>
        </w:tc>
        <w:tc>
          <w:tcPr>
            <w:tcW w:w="8797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Технические требования</w:t>
            </w:r>
          </w:p>
        </w:tc>
      </w:tr>
      <w:tr>
        <w:trPr/>
        <w:tc>
          <w:tcPr>
            <w:tcW w:w="111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ТУ</w:t>
            </w:r>
          </w:p>
        </w:tc>
        <w:tc>
          <w:tcPr>
            <w:tcW w:w="8797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Транспортный участок</w:t>
            </w:r>
          </w:p>
        </w:tc>
      </w:tr>
    </w:tbl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  <w:tab w:val="left" w:pos="1134" w:leader="none"/>
        </w:tabs>
        <w:spacing w:before="0" w:after="0"/>
        <w:ind w:left="567" w:hanging="0"/>
        <w:rPr>
          <w:sz w:val="24"/>
          <w:szCs w:val="24"/>
        </w:rPr>
      </w:pPr>
      <w:bookmarkStart w:id="4" w:name="_Toc46743506"/>
      <w:bookmarkStart w:id="5" w:name="_Toc75446568"/>
      <w:r>
        <w:rPr>
          <w:sz w:val="24"/>
          <w:szCs w:val="24"/>
        </w:rPr>
        <w:t>Наименование закупаемой продукции</w:t>
      </w:r>
      <w:bookmarkEnd w:id="4"/>
      <w:bookmarkEnd w:id="5"/>
    </w:p>
    <w:p>
      <w:pPr>
        <w:pStyle w:val="Heading4"/>
        <w:tabs>
          <w:tab w:val="clear" w:pos="0"/>
        </w:tabs>
        <w:ind w:left="0" w:firstLine="567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ru-RU"/>
        </w:rPr>
        <w:t>ОКПД2 19.20.21 Поставка нефтепродуктов через автомобильные заправочные станции в населенном пункте Углегорск для нужд Сахалинского транспортного участка Владивостокского Представительства АО «ТК РусГидро».</w:t>
      </w:r>
      <w:bookmarkStart w:id="6" w:name="_Toc75446569"/>
    </w:p>
    <w:p>
      <w:pPr>
        <w:pStyle w:val="Heading4"/>
        <w:numPr>
          <w:ilvl w:val="1"/>
          <w:numId w:val="3"/>
        </w:numPr>
        <w:ind w:left="567" w:hanging="0"/>
        <w:rPr>
          <w:sz w:val="24"/>
          <w:szCs w:val="24"/>
        </w:rPr>
      </w:pPr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 xml:space="preserve">использования закупаемой продукции </w:t>
      </w:r>
      <w:bookmarkEnd w:id="6"/>
      <w:r>
        <w:rPr>
          <w:sz w:val="24"/>
          <w:szCs w:val="24"/>
        </w:rPr>
        <w:t xml:space="preserve"> </w:t>
      </w:r>
    </w:p>
    <w:p>
      <w:pPr>
        <w:pStyle w:val="Heading4"/>
        <w:tabs>
          <w:tab w:val="clear" w:pos="0"/>
        </w:tabs>
        <w:ind w:left="0" w:firstLine="426"/>
        <w:jc w:val="both"/>
        <w:rPr>
          <w:sz w:val="24"/>
          <w:szCs w:val="24"/>
        </w:rPr>
      </w:pPr>
      <w:r>
        <w:rPr>
          <w:b w:val="false"/>
          <w:sz w:val="24"/>
          <w:szCs w:val="24"/>
          <w:lang w:val="ru-RU" w:eastAsia="ru-RU"/>
        </w:rPr>
        <w:t xml:space="preserve">   </w:t>
      </w:r>
      <w:r>
        <w:rPr>
          <w:b w:val="false"/>
          <w:sz w:val="24"/>
          <w:szCs w:val="24"/>
          <w:lang w:val="ru-RU" w:eastAsia="ru-RU"/>
        </w:rPr>
        <w:t>Обеспечение топливом транспортных средств, спецтехники и инструмента в целях организации бесперебойной работы Сахалинского ТУ Владивостокского представительства АО «ТК РусГидро».</w:t>
      </w:r>
    </w:p>
    <w:p>
      <w:pPr>
        <w:pStyle w:val="Heading1"/>
        <w:numPr>
          <w:ilvl w:val="0"/>
          <w:numId w:val="3"/>
        </w:numPr>
        <w:ind w:left="0" w:firstLine="567"/>
        <w:jc w:val="center"/>
        <w:rPr>
          <w:sz w:val="24"/>
          <w:szCs w:val="24"/>
        </w:rPr>
      </w:pPr>
      <w:bookmarkStart w:id="8" w:name="_Toc75446573"/>
      <w:bookmarkStart w:id="9" w:name="_Toc51339693"/>
      <w:bookmarkStart w:id="10" w:name="_Toc75446572_Копия_1"/>
      <w:bookmarkEnd w:id="10"/>
      <w:r>
        <w:rPr>
          <w:sz w:val="24"/>
          <w:szCs w:val="24"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</w:tabs>
        <w:spacing w:before="0" w:after="0"/>
        <w:ind w:left="567" w:hanging="0"/>
        <w:rPr>
          <w:sz w:val="24"/>
          <w:szCs w:val="24"/>
        </w:rPr>
      </w:pPr>
      <w:bookmarkStart w:id="11" w:name="_Toc75446574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11"/>
      <w:r>
        <w:rPr>
          <w:sz w:val="24"/>
          <w:szCs w:val="24"/>
          <w:lang w:val="ru-RU"/>
        </w:rPr>
        <w:t>:</w:t>
      </w:r>
    </w:p>
    <w:p>
      <w:pPr>
        <w:pStyle w:val="Normal"/>
        <w:widowControl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uppressAutoHyphens w:val="true"/>
        <w:bidi w:val="0"/>
        <w:spacing w:before="0" w:after="0"/>
        <w:ind w:left="0" w:right="0" w:firstLine="85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По заказу Сахалинского ТУ Владивостокского представительства АО «ТК РусГидро» Поставщик поставляет нефтепродукты через АЗС с использованием заборной ведомости (далее по тексту - заправочная ведомость);</w:t>
      </w:r>
    </w:p>
    <w:p>
      <w:pPr>
        <w:pStyle w:val="Normal"/>
        <w:widowControl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uppressAutoHyphens w:val="true"/>
        <w:bidi w:val="0"/>
        <w:spacing w:before="0" w:after="0"/>
        <w:ind w:left="0" w:right="0" w:firstLine="85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отпуск ГСМ должен осуществляться по безналичному расчету по заправочной ведомости;</w:t>
      </w:r>
    </w:p>
    <w:p>
      <w:pPr>
        <w:pStyle w:val="Normal"/>
        <w:widowControl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uppressAutoHyphens w:val="true"/>
        <w:bidi w:val="0"/>
        <w:spacing w:before="0" w:after="0"/>
        <w:ind w:left="0" w:right="0" w:firstLine="85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объемы отпускаемых горюче-смазочных материалов по заправочным ведомостям должны соответствовать установленным Покупателем лимитам по видам (маркам) и количеству (литры) топлива;</w:t>
      </w:r>
    </w:p>
    <w:p>
      <w:pPr>
        <w:pStyle w:val="Normal"/>
        <w:widowControl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uppressAutoHyphens w:val="true"/>
        <w:bidi w:val="0"/>
        <w:spacing w:before="0" w:after="0"/>
        <w:ind w:left="0" w:right="0" w:firstLine="85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поставка Товара должна осуществляться с возможностью ежедневного самовывоза с АЗС Поставщика, путем выборки Товара Покупателем по ведомостям;</w:t>
      </w:r>
    </w:p>
    <w:p>
      <w:pPr>
        <w:pStyle w:val="Normal"/>
        <w:widowControl/>
        <w:numPr>
          <w:ilvl w:val="0"/>
          <w:numId w:val="8"/>
        </w:numPr>
        <w:tabs>
          <w:tab w:val="clear" w:pos="709"/>
          <w:tab w:val="left" w:pos="0" w:leader="none"/>
          <w:tab w:val="left" w:pos="1134" w:leader="none"/>
        </w:tabs>
        <w:suppressAutoHyphens w:val="true"/>
        <w:bidi w:val="0"/>
        <w:spacing w:before="0" w:after="0"/>
        <w:ind w:left="0" w:right="0" w:firstLine="85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работы по отпуску нефтепродуктов и услуги по информационному обслуживанию должны осуществляться Поставщиком на территории г. Углегорск, Сахалинская область.</w:t>
      </w:r>
    </w:p>
    <w:p>
      <w:pPr>
        <w:pStyle w:val="Heading3"/>
        <w:numPr>
          <w:ilvl w:val="2"/>
          <w:numId w:val="3"/>
        </w:numPr>
        <w:tabs>
          <w:tab w:val="left" w:pos="0" w:leader="none"/>
          <w:tab w:val="left" w:pos="1134" w:leader="none"/>
        </w:tabs>
        <w:spacing w:before="0" w:after="0"/>
        <w:ind w:left="567" w:hanging="567"/>
        <w:rPr>
          <w:sz w:val="24"/>
          <w:szCs w:val="24"/>
        </w:rPr>
      </w:pPr>
      <w:bookmarkStart w:id="12" w:name="_Toc75446575"/>
      <w:r>
        <w:rPr>
          <w:sz w:val="24"/>
          <w:szCs w:val="24"/>
        </w:rPr>
        <w:t>Перечень и объем закупаемой продукции</w:t>
      </w:r>
      <w:bookmarkEnd w:id="12"/>
    </w:p>
    <w:p>
      <w:pPr>
        <w:pStyle w:val="Heading1"/>
        <w:tabs>
          <w:tab w:val="clear" w:pos="0"/>
        </w:tabs>
        <w:ind w:left="567" w:hanging="0"/>
        <w:rPr>
          <w:sz w:val="24"/>
          <w:szCs w:val="24"/>
        </w:rPr>
      </w:pPr>
      <w:bookmarkStart w:id="13" w:name="_Toc75446576"/>
      <w:bookmarkStart w:id="14" w:name="_Toc51339695"/>
      <w:r>
        <w:rPr>
          <w:sz w:val="24"/>
          <w:szCs w:val="24"/>
        </w:rPr>
        <w:t xml:space="preserve">Таблица 1.1 Перечень </w:t>
      </w:r>
      <w:bookmarkEnd w:id="14"/>
      <w:r>
        <w:rPr>
          <w:sz w:val="24"/>
          <w:szCs w:val="24"/>
        </w:rPr>
        <w:t>и объем закупаемой продукции</w:t>
      </w:r>
      <w:bookmarkEnd w:id="13"/>
    </w:p>
    <w:tbl>
      <w:tblPr>
        <w:tblW w:w="99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16"/>
        <w:gridCol w:w="5755"/>
        <w:gridCol w:w="1687"/>
        <w:gridCol w:w="1801"/>
      </w:tblGrid>
      <w:tr>
        <w:trPr>
          <w:trHeight w:val="83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bookmarkStart w:id="15" w:name="_GoBack"/>
            <w:r>
              <w:rPr>
                <w:sz w:val="24"/>
                <w:szCs w:val="24"/>
              </w:rPr>
              <w:t>Количество*</w:t>
            </w:r>
            <w:bookmarkEnd w:id="15"/>
          </w:p>
        </w:tc>
      </w:tr>
      <w:tr>
        <w:trPr>
          <w:trHeight w:val="44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8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-42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автомобильный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13 980,0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jc w:val="both"/>
        <w:rPr>
          <w:sz w:val="24"/>
          <w:szCs w:val="24"/>
        </w:rPr>
      </w:pPr>
      <w:r>
        <w:rPr>
          <w:i/>
          <w:sz w:val="24"/>
          <w:szCs w:val="24"/>
          <w:lang w:eastAsia="x-none"/>
        </w:rPr>
        <w:t>*Объем продукции является ориентировочным, Заказчик не несет ответственности за неполную выборку продукции на общую сумму договора.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lang w:eastAsia="x-none"/>
        </w:rPr>
        <w:t xml:space="preserve">Количество поставляемой Продукции может быть изменено с учетом потребности Заказчика в пределах цены договора. </w:t>
      </w:r>
    </w:p>
    <w:p>
      <w:pPr>
        <w:pStyle w:val="Heading3"/>
        <w:keepNext w:val="true"/>
        <w:widowControl/>
        <w:numPr>
          <w:ilvl w:val="2"/>
          <w:numId w:val="3"/>
        </w:numPr>
        <w:suppressAutoHyphens w:val="true"/>
        <w:bidi w:val="0"/>
        <w:spacing w:before="0" w:after="0"/>
        <w:ind w:left="0" w:firstLine="567"/>
        <w:rPr/>
      </w:pPr>
      <w:bookmarkStart w:id="16" w:name="_Toc75446578"/>
      <w:bookmarkStart w:id="17" w:name="_Toc51339696"/>
      <w:r>
        <w:rPr>
          <w:sz w:val="24"/>
          <w:szCs w:val="24"/>
        </w:rPr>
        <w:t xml:space="preserve">Требования </w:t>
      </w:r>
      <w:bookmarkEnd w:id="17"/>
      <w:r>
        <w:rPr>
          <w:sz w:val="24"/>
          <w:szCs w:val="24"/>
        </w:rPr>
        <w:t>к срокам поставки продукции</w:t>
      </w:r>
      <w:bookmarkEnd w:id="16"/>
    </w:p>
    <w:p>
      <w:pPr>
        <w:pStyle w:val="Heading1"/>
        <w:tabs>
          <w:tab w:val="clear" w:pos="0"/>
        </w:tabs>
        <w:ind w:left="567" w:hanging="0"/>
        <w:rPr>
          <w:sz w:val="24"/>
          <w:szCs w:val="24"/>
        </w:rPr>
      </w:pPr>
      <w:bookmarkStart w:id="18" w:name="_Toc75446579"/>
      <w:bookmarkStart w:id="19" w:name="_Toc50125127"/>
      <w:bookmarkStart w:id="20" w:name="_Toc51339697"/>
      <w:bookmarkStart w:id="21" w:name="_Toc50125126_Копия_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tbl>
      <w:tblPr>
        <w:tblW w:w="10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5326"/>
        <w:gridCol w:w="2267"/>
        <w:gridCol w:w="191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3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bookmarkStart w:id="23" w:name="_Toc46743510"/>
            <w:r>
              <w:rPr>
                <w:b/>
                <w:sz w:val="24"/>
                <w:szCs w:val="24"/>
              </w:rPr>
              <w:t>4</w:t>
            </w:r>
            <w:bookmarkEnd w:id="23"/>
          </w:p>
        </w:tc>
      </w:tr>
      <w:tr>
        <w:trPr>
          <w:trHeight w:val="41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19.20.21 Поставка нефтепродуктов через автомобильные заправочные станции в населенном пункте Углегорск для нужд Сахалинского транспортного участка Владивостокского Представительства АО «ТК РусГидро».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заключения договора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01.07.2028 г.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</w:tabs>
        <w:ind w:left="567" w:hanging="6"/>
        <w:rPr>
          <w:sz w:val="24"/>
          <w:szCs w:val="24"/>
        </w:rPr>
      </w:pPr>
      <w:bookmarkStart w:id="24" w:name="_Toc51339698"/>
      <w:bookmarkStart w:id="25" w:name="_Toc75446581"/>
      <w:bookmarkStart w:id="26" w:name="_Toc46743511"/>
      <w:r>
        <w:rPr>
          <w:sz w:val="24"/>
          <w:szCs w:val="24"/>
        </w:rPr>
        <w:t xml:space="preserve">Требования к </w:t>
      </w:r>
      <w:bookmarkEnd w:id="26"/>
      <w:r>
        <w:rPr>
          <w:sz w:val="24"/>
          <w:szCs w:val="24"/>
        </w:rPr>
        <w:t>качеству продукции</w:t>
      </w:r>
      <w:bookmarkEnd w:id="25"/>
    </w:p>
    <w:p>
      <w:pPr>
        <w:pStyle w:val="Heading1"/>
        <w:tabs>
          <w:tab w:val="clear" w:pos="0"/>
          <w:tab w:val="left" w:pos="851" w:leader="none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75446582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r>
        <w:rPr>
          <w:sz w:val="24"/>
          <w:szCs w:val="24"/>
        </w:rPr>
        <w:t xml:space="preserve"> </w:t>
      </w:r>
      <w:bookmarkEnd w:id="24"/>
    </w:p>
    <w:p>
      <w:pPr>
        <w:pStyle w:val="Heading4"/>
        <w:tabs>
          <w:tab w:val="clear" w:pos="0"/>
        </w:tabs>
        <w:ind w:left="0" w:right="394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продукции (позиции 1 таблицы 1.1): ОКПД2 19.20.21 Поставка нефтепродуктов через автомобильные заправочные станции в населенном пункте Углегорск для нужд Сахалинского транспортного участка Владивостокского Представительства АО «ТК РусГидро».</w:t>
      </w:r>
      <w:r>
        <w:rPr>
          <w:i/>
          <w:sz w:val="24"/>
          <w:szCs w:val="24"/>
          <w:lang w:val="ru-RU"/>
        </w:rPr>
        <w:t xml:space="preserve">    </w:t>
      </w:r>
    </w:p>
    <w:tbl>
      <w:tblPr>
        <w:tblStyle w:val="1c"/>
        <w:tblW w:w="15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1"/>
        <w:gridCol w:w="1874"/>
        <w:gridCol w:w="10950"/>
        <w:gridCol w:w="1744"/>
      </w:tblGrid>
      <w:tr>
        <w:trPr>
          <w:trHeight w:val="311" w:hRule="atLeast"/>
        </w:trPr>
        <w:tc>
          <w:tcPr>
            <w:tcW w:w="7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8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109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заказчика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70" w:hRule="atLeast"/>
        </w:trPr>
        <w:tc>
          <w:tcPr>
            <w:tcW w:w="7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9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Согласие с требованием/ указание характеристик</w:t>
            </w:r>
          </w:p>
        </w:tc>
      </w:tr>
      <w:tr>
        <w:trPr>
          <w:trHeight w:val="70" w:hRule="atLeast"/>
        </w:trPr>
        <w:tc>
          <w:tcPr>
            <w:tcW w:w="7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95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>
        <w:trPr>
          <w:trHeight w:val="70" w:hRule="atLeast"/>
        </w:trPr>
        <w:tc>
          <w:tcPr>
            <w:tcW w:w="73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1282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744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ind w:left="0" w:right="0" w:hanging="0"/>
              <w:contextualSpacing w:val="false"/>
              <w:jc w:val="both"/>
              <w:rPr/>
            </w:pPr>
            <w:r>
              <w:rPr>
                <w:rStyle w:val="Style8"/>
                <w:rFonts w:eastAsia="Calibri" w:cs="Times New Roman"/>
                <w:b w:val="false"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</w:t>
            </w:r>
          </w:p>
        </w:tc>
      </w:tr>
      <w:tr>
        <w:trPr>
          <w:trHeight w:val="70" w:hRule="atLeast"/>
        </w:trPr>
        <w:tc>
          <w:tcPr>
            <w:tcW w:w="7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1.1</w:t>
            </w:r>
          </w:p>
        </w:tc>
        <w:tc>
          <w:tcPr>
            <w:tcW w:w="1874" w:type="dxa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Бензин</w:t>
            </w:r>
          </w:p>
        </w:tc>
        <w:tc>
          <w:tcPr>
            <w:tcW w:w="10950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Октановое число бензина автомобильного по исследовательскому методу: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Не менее 92.0000 не более 95.0000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7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128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безопасности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7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2.1</w:t>
            </w:r>
          </w:p>
        </w:tc>
        <w:tc>
          <w:tcPr>
            <w:tcW w:w="128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Качество поставляемой Продукции должно соответствовать требованиям ГОСТ 32513-2013 «Топлива моторные. Бензин неэтилированный. Технические условия».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7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2.2</w:t>
            </w:r>
          </w:p>
        </w:tc>
        <w:tc>
          <w:tcPr>
            <w:tcW w:w="128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Качество каждой партии Продукции должно быть подтверждено паспортом Продукции или товара, и/или декларацией/сертификатом соответствия. Партией считают любое количество топлива, однородного по показателям качества, сопровождаемое паспортом, оформленным в соответствии с требованиями технического регламента ТР ТС 013/2011 «О требованиях к автомобильному и авиационному бензину, дизельному и судовому топливу, топливу для реактивных двигателей и мазуту» (в действующей редакции), и ГОСТ 1510-2022 «Нефть и нефтепродукты. Маркировка, упаковка, транспортирование и хранение» (в действующей редакции).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7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2.3</w:t>
            </w:r>
          </w:p>
        </w:tc>
        <w:tc>
          <w:tcPr>
            <w:tcW w:w="128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Автозаправочные станции поставщика должна соответствовать требованиям ГОСТ Р 58404-2019 «Станции и комплексы автозаправочные. Правила технической эксплуатации»  (в действующей редакции).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7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128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7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1874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10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1. Сахалинская область, г. Углегорск, АЗС Поставщика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7" w:hRule="atLeast"/>
        </w:trPr>
        <w:tc>
          <w:tcPr>
            <w:tcW w:w="73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3.2</w:t>
            </w:r>
          </w:p>
        </w:tc>
        <w:tc>
          <w:tcPr>
            <w:tcW w:w="187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поставке</w:t>
            </w:r>
          </w:p>
        </w:tc>
        <w:tc>
          <w:tcPr>
            <w:tcW w:w="10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Поставка осуществляется на автозаправочных станциях поставщика. 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7" w:hRule="atLeast"/>
        </w:trPr>
        <w:tc>
          <w:tcPr>
            <w:tcW w:w="73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10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Отпуск Продукции должен осуществляться в соответствии с действующим законодательством РФ, в том числе Инструкцией о порядке поступления, хранения, отпуска и учета нефти и нефтепродуктов на нефтебазах, наливных пунктах и автозаправочных станциях системы Госнефтепродукта СССР, утвержденной Госкомнефтепродуктом СССР 15.08.1985 N 06/21-8-446 (ред. от 30.11.1987)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72" w:hRule="atLeast"/>
        </w:trPr>
        <w:tc>
          <w:tcPr>
            <w:tcW w:w="7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128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73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4.1</w:t>
            </w:r>
          </w:p>
        </w:tc>
        <w:tc>
          <w:tcPr>
            <w:tcW w:w="1874" w:type="dxa"/>
            <w:vMerge w:val="restart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Гарантии качества, обязательства по качеству</w:t>
            </w:r>
          </w:p>
        </w:tc>
        <w:tc>
          <w:tcPr>
            <w:tcW w:w="10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Поставщик гарантирует Заказчику соответствие качества поставляемой им Продукции действующим стандартам и требованиям, установленным на данный вид топлива, указанные в п.2. таблицы 3 настоящих ТТ.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73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74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При возникновении между Заказчиком и Поставщиком спора о качестве Продукции или вследствие иных причин по требованию Заказчика или Поставщика может быть назначена экспертиза качества Продукции.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73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74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Расходы по проведению экспертизы несет сторона, потребовавшая назначение экспертизы. Если экспертиза назначена по требованию Заказчика и экспертиза подтвердила некачественность Продукции, то расходы по экспертизе несет Поставщик.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73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74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В случаях выявления несоответствия качеству поставляемого топлива, Заказчик для предъявления претензий, предоставляет Поставщику следующие документы: акт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Росстандарте России), подтверждающий факт ненадлежащего качества топлива. Экспертная организация проводит отбор арбитражных проб топлива согласно Приказа Росстандарта от 29.11.2012 № 1448-ст «ГОСТ 2517-2012. Межгосударственный стандарт. Нефть и нефтепродукты. Методы отбора проб». Поставщик в случае выявления некачественного топлива в течение 5 (пяти) дней с момента поступления претензии осуществляет его замену.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73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74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В случае если причиной поломки и/или порчи принадлежащих Заказчику транспортных средств явилось использование отпущенного Поставщиком топлива (определяется независимой экспертизой), Поставщик обязан компенсировать все затраты по ремонту и доставке транспортного средства с места поломки по указанному Заказчиком адресу.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7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5. </w:t>
            </w:r>
          </w:p>
        </w:tc>
        <w:tc>
          <w:tcPr>
            <w:tcW w:w="128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7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5.1</w:t>
            </w:r>
          </w:p>
        </w:tc>
        <w:tc>
          <w:tcPr>
            <w:tcW w:w="1874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Документы, передаваемые вместе с продукцией</w:t>
            </w:r>
          </w:p>
        </w:tc>
        <w:tc>
          <w:tcPr>
            <w:tcW w:w="10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Поставщик передает Заказчику товарную накладную (ТОРГ-12)/УПД, счет-фактуру</w:t>
            </w:r>
          </w:p>
        </w:tc>
        <w:tc>
          <w:tcPr>
            <w:tcW w:w="17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851" w:right="851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ind w:left="360" w:hanging="0"/>
        <w:jc w:val="center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3.Требования к документации по ценообразованию на этапе заключения (исполнения) договора</w:t>
      </w:r>
    </w:p>
    <w:p>
      <w:pPr>
        <w:pStyle w:val="ListParagraph"/>
        <w:ind w:left="1080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ind w:left="567" w:hanging="4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Цена на поставляемую продукцию должна быть указана с учетом затрат на транспортировку (до места поставки согласно настоящим ТТ), уплату налогов, таможенных пошлин, сборов и других обязательных платежей.</w:t>
      </w:r>
    </w:p>
    <w:p>
      <w:pPr>
        <w:pStyle w:val="ListParagraph"/>
        <w:numPr>
          <w:ilvl w:val="1"/>
          <w:numId w:val="12"/>
        </w:numPr>
        <w:ind w:left="567" w:hanging="420"/>
        <w:jc w:val="both"/>
        <w:rPr>
          <w:sz w:val="24"/>
          <w:szCs w:val="24"/>
        </w:rPr>
      </w:pPr>
      <w:r>
        <w:rPr>
          <w:sz w:val="24"/>
          <w:szCs w:val="24"/>
        </w:rPr>
        <w:t>Стоимость единицы Товара устанавливается с учетом изменения цен на рынке ГСМ и отражается на ценовом табло АЗС в момент его получения (цена не должна превышать стоимости топлива, указанного на стелле АЗС).</w:t>
      </w:r>
    </w:p>
    <w:p>
      <w:pPr>
        <w:pStyle w:val="ListParagraph"/>
        <w:numPr>
          <w:ilvl w:val="1"/>
          <w:numId w:val="13"/>
        </w:numPr>
        <w:ind w:left="567" w:hanging="420"/>
        <w:jc w:val="both"/>
        <w:rPr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  <w:lang w:eastAsia="x-none"/>
        </w:rPr>
        <w:t>В случае изменения цены за периодом выборки она отражается в соответствующих ТТН и счетах-фактурах</w:t>
      </w:r>
    </w:p>
    <w:p>
      <w:pPr>
        <w:pStyle w:val="ListParagraph"/>
        <w:ind w:left="-57" w:firstLine="624"/>
        <w:jc w:val="both"/>
        <w:rPr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3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9"/>
    <w:lvlOverride w:ilvl="0">
      <w:startOverride w:val="3"/>
    </w:lvlOverride>
    <w:lvlOverride w:ilvl="1">
      <w:startOverride w:val="1"/>
    </w:lvlOverride>
  </w:num>
  <w:num w:numId="12">
    <w:abstractNumId w:val="9"/>
  </w:num>
  <w:num w:numId="13">
    <w:abstractNumId w:val="9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81159"/>
    <w:pPr>
      <w:keepNext w:val="true"/>
      <w:tabs>
        <w:tab w:val="clear" w:pos="709"/>
        <w:tab w:val="left" w:pos="0" w:leader="none"/>
      </w:tabs>
      <w:spacing w:before="120" w:after="0"/>
      <w:ind w:left="567" w:hanging="0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8115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26b68"/>
    <w:pPr>
      <w:tabs>
        <w:tab w:val="clear" w:pos="709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604f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4" w:customStyle="1">
    <w:name w:val="[РГ] Текст"/>
    <w:basedOn w:val="Normal"/>
    <w:qFormat/>
    <w:rsid w:val="00ce338e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9747493471">
    <w:name w:val="974749347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5139E-45DE-4175-892C-CF18E281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Application>AlterOffice/3.4.0.9$Linux_X86_64 LibreOffice_project/b8daf9e823b1a5463a2f48435ddc2e8696e7d4fc</Application>
  <AppVersion>15.0000</AppVersion>
  <Pages>6</Pages>
  <Words>1027</Words>
  <Characters>7481</Characters>
  <CharactersWithSpaces>8391</CharactersWithSpaces>
  <Paragraphs>127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2023-03-14T07:58:00Z</dcterms:created>
  <dc:creator>Быстров Олег Геннадьевич</dc:creator>
  <dc:description/>
  <dc:language>ru-RU</dc:language>
  <cp:lastModifiedBy>zaguzovays@corp.gidroogk.com</cp:lastModifiedBy>
  <cp:lastPrinted>2025-01-25T14:43:34Z</cp:lastPrinted>
  <dcterms:modified xsi:type="dcterms:W3CDTF">2026-05-15T12:27:25Z</dcterms:modified>
  <cp:revision>53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