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ОКПД2 08.12.11.120. Поставка песка кварцевого фракционированного для нужд Саратовского филиала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bookmarkStart w:id="0" w:name="_Toc75446568"/>
      <w:bookmarkStart w:id="1" w:name="_Toc46743506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08.12.11.120. Поставка песка кварцевого фракционированного для нужд Саратовского филиала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46743510"/>
      <w:bookmarkStart w:id="7" w:name="_Toc50125126"/>
      <w:bookmarkStart w:id="8" w:name="_Toc75446573"/>
      <w:bookmarkStart w:id="9" w:name="_Toc51339693"/>
      <w:bookmarkEnd w:id="7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ind w:left="567" w:hanging="425"/>
        <w:rPr/>
      </w:pPr>
      <w:bookmarkStart w:id="10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7"/>
        <w:gridCol w:w="4536"/>
        <w:gridCol w:w="2411"/>
        <w:gridCol w:w="2125"/>
      </w:tblGrid>
      <w:tr>
        <w:trPr>
          <w:tblHeader w:val="true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55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ОКПД2 08.12.11.120. </w:t>
            </w:r>
            <w:r>
              <w:rPr>
                <w:sz w:val="24"/>
                <w:szCs w:val="24"/>
              </w:rPr>
              <w:t>Песок кварцевый фракционированный,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фракция 0,63мм -1,6мм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50125126"/>
      <w:bookmarkStart w:id="15" w:name="_Toc75446579"/>
      <w:bookmarkStart w:id="16" w:name="_Toc51339697"/>
      <w:bookmarkStart w:id="17" w:name="_Toc50125127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8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123"/>
        <w:gridCol w:w="2976"/>
        <w:gridCol w:w="297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4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ОКПД2 08.12.11.120.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Песок кварцевый фракционированный,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 xml:space="preserve">фракция 0,63мм -1,6мм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</w:t>
            </w:r>
            <w:bookmarkStart w:id="20" w:name="_GoBack"/>
            <w:bookmarkEnd w:id="20"/>
            <w:r>
              <w:rPr>
                <w:sz w:val="24"/>
                <w:szCs w:val="24"/>
              </w:rPr>
              <w:t>0 календарных дней с даты направления заявки, но не позднее 15.03.2027*</w:t>
            </w:r>
          </w:p>
          <w:p>
            <w:pPr>
              <w:pStyle w:val="Normal"/>
              <w:widowControl w:val="false"/>
              <w:ind w:right="-1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продукции осуществляется Поставщиком по заявкам-спецификациям Покупателя (ориентировочное количество заявок-спецификаций − 2)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jc w:val="both"/>
        <w:rPr>
          <w:rFonts w:eastAsia="Calibri"/>
          <w:b/>
          <w:sz w:val="24"/>
          <w:szCs w:val="24"/>
          <w:lang w:eastAsia="x-none"/>
        </w:rPr>
      </w:pPr>
      <w:r>
        <w:rPr/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426" w:leader="none"/>
        </w:tabs>
        <w:ind w:left="142" w:hanging="142"/>
        <w:rPr/>
      </w:pPr>
      <w:bookmarkStart w:id="21" w:name="_Toc51339698"/>
      <w:bookmarkStart w:id="22" w:name="_Toc75446581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1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ОКПД2 08.12.11.120.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b/>
          <w:bCs/>
          <w:iCs/>
          <w:sz w:val="24"/>
          <w:szCs w:val="24"/>
        </w:rPr>
        <w:t>Песок кварцевый фракционированный, фракция 0,63мм -1,6мм</w:t>
      </w:r>
    </w:p>
    <w:tbl>
      <w:tblPr>
        <w:tblStyle w:val="af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3"/>
        <w:gridCol w:w="2329"/>
        <w:gridCol w:w="1962"/>
        <w:gridCol w:w="2835"/>
        <w:gridCol w:w="3098"/>
        <w:gridCol w:w="3809"/>
      </w:tblGrid>
      <w:tr>
        <w:trPr>
          <w:tblHeader w:val="true"/>
        </w:trPr>
        <w:tc>
          <w:tcPr>
            <w:tcW w:w="109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2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9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90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9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9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2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9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Требования к гранулометрическому составу</w:t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основной фракции не менее, %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before="2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90</w:t>
            </w:r>
          </w:p>
        </w:tc>
        <w:tc>
          <w:tcPr>
            <w:tcW w:w="3098" w:type="dxa"/>
            <w:vMerge w:val="restart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фракции плюс не более, %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before="2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фракции минус не более, %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before="2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85" w:hRule="atLeast"/>
        </w:trPr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химическому составу 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Массовая доля глинистой составляющей не более, %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before="2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0,15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Массовая доля оксида кремния 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SO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 не менее, %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before="2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98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поставке, маркировке, упаковке, транспортировке, приемке </w:t>
            </w:r>
          </w:p>
        </w:tc>
        <w:tc>
          <w:tcPr>
            <w:tcW w:w="3098" w:type="dxa"/>
            <w:vMerge w:val="restart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79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ул. Заовражная д.48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479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Покупателем за неисполнение или ненадлежащее исполнение обязательств привлеченными к исполнению договора третьими лицами.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упаковки</w:t>
            </w:r>
          </w:p>
        </w:tc>
        <w:tc>
          <w:tcPr>
            <w:tcW w:w="479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Биг  Бэг – 1 тн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479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полное наименование продукции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4797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127" w:leader="none"/>
                <w:tab w:val="left" w:pos="26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поставке продукции поставщик обеспечивает сохранность упаковки продукции.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479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 на русском языке</w:t>
            </w:r>
          </w:p>
        </w:tc>
        <w:tc>
          <w:tcPr>
            <w:tcW w:w="4797" w:type="dxa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с указанием: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количества продукции;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соответствия нормативным показателям;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даты выдачи;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отметки о проверке ОТК.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3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3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lang w:val="ru-RU"/>
        </w:rPr>
      </w:pPr>
      <w:r>
        <w:rPr>
          <w:lang w:val="ru-RU"/>
        </w:rPr>
        <w:t>Требования к документации по ценообразованию на этапе закупки.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25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26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26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0" w:hanging="0"/>
        <w:rPr>
          <w:i/>
          <w:i/>
          <w:iCs/>
          <w:sz w:val="24"/>
          <w:szCs w:val="24"/>
          <w:shd w:fill="FFFF99" w:val="clear"/>
          <w:lang w:val="ru-RU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8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uiPriority w:val="99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uiPriority w:val="99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a34a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1B6D-7A44-49DB-B9B2-75869683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AlterOffice/2025.3.0.0$Linux_X86_64 LibreOffice_project/774e6be3fe79fbee37ab4be005d8f260e3857d8a</Application>
  <AppVersion>15.0000</AppVersion>
  <Pages>6</Pages>
  <Words>593</Words>
  <Characters>3994</Characters>
  <CharactersWithSpaces>4453</CharactersWithSpaces>
  <Paragraphs>140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2024-12-27T09:18:00Z</dcterms:created>
  <dc:creator>Быстров Олег Геннадьевич</dc:creator>
  <dc:description/>
  <dc:language>ru-RU</dc:language>
  <cp:lastModifiedBy>bromirskyri@corp.gidroogk.com</cp:lastModifiedBy>
  <cp:lastPrinted>2006-07-26T14:04:00Z</cp:lastPrinted>
  <dcterms:modified xsi:type="dcterms:W3CDTF">2026-05-15T13:01:59Z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