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Заместитель д</w:t>
      </w:r>
      <w:r>
        <w:rPr>
          <w:b/>
          <w:bCs/>
          <w:sz w:val="24"/>
          <w:szCs w:val="24"/>
        </w:rPr>
        <w:t>иректор</w:t>
      </w:r>
      <w:r>
        <w:rPr>
          <w:b/>
          <w:bCs/>
          <w:sz w:val="24"/>
          <w:szCs w:val="24"/>
        </w:rPr>
        <w:t>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О.Н. Захаров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cs="Calibri" w:cstheme="minorHAnsi"/>
          <w:b/>
          <w:bCs/>
          <w:kern w:val="2"/>
          <w:sz w:val="30"/>
          <w:szCs w:val="30"/>
          <w:lang w:eastAsia="ru-RU"/>
        </w:rPr>
        <w:t>ОКПД2 49.41.20.000 Оказание услуг строительной техникой для нужд Загорского строительного участка Центрального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</w:rPr>
      </w:pPr>
      <w:r>
        <w:rPr>
          <w:rFonts w:eastAsia="Calibri" w:cs="Liberation Mono"/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 w:cs="Liberation Mono"/>
          <w:b/>
          <w:sz w:val="30"/>
          <w:szCs w:val="30"/>
        </w:rPr>
      </w:pPr>
      <w:r>
        <w:rPr>
          <w:rFonts w:eastAsia="Calibri" w:cs="Liberation Mono"/>
          <w:b/>
          <w:sz w:val="30"/>
          <w:szCs w:val="3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Mono"/>
          <w:b/>
          <w:sz w:val="26"/>
          <w:szCs w:val="26"/>
        </w:rPr>
        <w:t>ЛОТ __________________________-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25378692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строительной техникой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jc w:val="both"/>
        <w:rPr/>
      </w:pPr>
      <w:r>
        <w:rPr>
          <w:rFonts w:eastAsia="Times New Roman"/>
          <w:b w:val="false"/>
          <w:sz w:val="24"/>
          <w:szCs w:val="24"/>
          <w:lang w:val="ru-RU" w:eastAsia="ru-RU"/>
        </w:rPr>
        <w:tab/>
        <w:t>Целью является оказание транспортных услуг грузовой техникой для исполнения обязательств по договорам, заключенным между АО «ТК РусГидро» и АО «Загорская ГАЭС-2».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outlineLvl w:val="0"/>
        <w:rPr>
          <w:rFonts w:eastAsia="Calibri"/>
          <w:b/>
          <w:lang w:eastAsia="x-none"/>
        </w:rPr>
      </w:pPr>
      <w:bookmarkStart w:id="6" w:name="__RefHeading___Toc37077_3980032840"/>
      <w:bookmarkStart w:id="7" w:name="_Toc54643699"/>
      <w:bookmarkEnd w:id="6"/>
      <w:r>
        <w:rPr>
          <w:rFonts w:eastAsia="Calibri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7"/>
    </w:p>
    <w:tbl>
      <w:tblPr>
        <w:tblW w:w="10323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4"/>
        <w:gridCol w:w="2855"/>
        <w:gridCol w:w="2136"/>
        <w:gridCol w:w="3064"/>
        <w:gridCol w:w="1204"/>
      </w:tblGrid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строительной техникой для нужд Загорского строительного участка Центрального филиала АО "ТК РусГидро"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iCs/>
                <w:sz w:val="24"/>
                <w:szCs w:val="24"/>
                <w:lang w:eastAsia="zh-CN"/>
              </w:rPr>
              <w:t>141342, Московская обл., Сергиево - Посадский район, рп. Богородское,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Нижний аккумулирующий бассейн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Загорская ГАЭС-2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0"/>
        <w:outlineLvl w:val="0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Heading1"/>
        <w:ind w:left="0" w:hanging="0"/>
        <w:rPr>
          <w:sz w:val="24"/>
          <w:szCs w:val="24"/>
        </w:rPr>
      </w:pPr>
      <w:r>
        <w:rPr>
          <w:iCs/>
          <w:sz w:val="24"/>
          <w:szCs w:val="24"/>
          <w:lang w:val="ru-RU"/>
        </w:rPr>
        <w:t xml:space="preserve">2. </w:t>
      </w:r>
      <w:bookmarkStart w:id="8" w:name="_Toc125378698"/>
      <w:r>
        <w:rPr>
          <w:iCs/>
          <w:sz w:val="24"/>
          <w:szCs w:val="24"/>
          <w:lang w:val="ru-RU"/>
        </w:rPr>
        <w:t>Требования к продукции</w:t>
      </w:r>
      <w:bookmarkEnd w:id="8"/>
    </w:p>
    <w:p>
      <w:pPr>
        <w:pStyle w:val="Normal"/>
        <w:numPr>
          <w:ilvl w:val="0"/>
          <w:numId w:val="0"/>
        </w:numPr>
        <w:spacing w:before="0" w:after="60"/>
        <w:outlineLvl w:val="0"/>
        <w:rPr/>
      </w:pPr>
      <w:bookmarkStart w:id="9" w:name="__RefHeading___Toc37079_3980032840"/>
      <w:bookmarkEnd w:id="9"/>
      <w:r>
        <w:rPr>
          <w:rFonts w:eastAsia="Calibri"/>
          <w:b/>
          <w:sz w:val="24"/>
          <w:szCs w:val="24"/>
          <w:lang w:eastAsia="x-none"/>
        </w:rPr>
        <w:t xml:space="preserve">2.1. </w:t>
      </w:r>
      <w:r>
        <w:rPr>
          <w:rFonts w:eastAsia="Calibri"/>
          <w:b/>
          <w:sz w:val="24"/>
          <w:szCs w:val="24"/>
          <w:lang w:val="x-none" w:eastAsia="x-none"/>
        </w:rPr>
        <w:t>Требования к объемам и срокам оказания услуг</w:t>
      </w:r>
    </w:p>
    <w:p>
      <w:pPr>
        <w:pStyle w:val="Normal"/>
        <w:keepNext w:val="true"/>
        <w:numPr>
          <w:ilvl w:val="0"/>
          <w:numId w:val="0"/>
        </w:numPr>
        <w:spacing w:before="0" w:after="60"/>
        <w:outlineLvl w:val="3"/>
        <w:rPr>
          <w:sz w:val="24"/>
          <w:szCs w:val="24"/>
        </w:rPr>
      </w:pPr>
      <w:bookmarkStart w:id="10" w:name="__RefHeading___Toc37083_3980032840"/>
      <w:bookmarkEnd w:id="10"/>
      <w:r>
        <w:rPr>
          <w:rFonts w:eastAsia="Calibri"/>
          <w:b/>
          <w:bCs/>
          <w:sz w:val="24"/>
          <w:szCs w:val="24"/>
          <w:lang w:eastAsia="x-none"/>
        </w:rPr>
        <w:t xml:space="preserve">2.1.1. </w:t>
      </w:r>
      <w:bookmarkStart w:id="11" w:name="_Toc54643704"/>
      <w:r>
        <w:rPr>
          <w:rFonts w:eastAsia="Calibri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1"/>
    </w:p>
    <w:p>
      <w:pPr>
        <w:pStyle w:val="Normal"/>
        <w:keepNext w:val="true"/>
        <w:numPr>
          <w:ilvl w:val="0"/>
          <w:numId w:val="0"/>
        </w:numPr>
        <w:spacing w:before="0" w:after="60"/>
        <w:outlineLvl w:val="0"/>
        <w:rPr>
          <w:sz w:val="24"/>
          <w:szCs w:val="24"/>
        </w:rPr>
      </w:pPr>
      <w:bookmarkStart w:id="12" w:name="__RefHeading___Toc37085_3980032840"/>
      <w:bookmarkStart w:id="13" w:name="_Toc54643705"/>
      <w:bookmarkStart w:id="14" w:name="_Toc51339695"/>
      <w:bookmarkEnd w:id="12"/>
      <w:r>
        <w:rPr>
          <w:rFonts w:eastAsia="Calibri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eastAsia="Calibri"/>
          <w:b/>
          <w:sz w:val="24"/>
          <w:szCs w:val="24"/>
          <w:lang w:val="x-none" w:eastAsia="x-none"/>
        </w:rPr>
        <w:t>и объем оказываемых услуг</w:t>
      </w:r>
      <w:bookmarkEnd w:id="1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W w:w="10486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4250"/>
        <w:gridCol w:w="1770"/>
        <w:gridCol w:w="1637"/>
        <w:gridCol w:w="2279"/>
      </w:tblGrid>
      <w:tr>
        <w:trPr>
          <w:trHeight w:val="265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часов</w:t>
            </w:r>
          </w:p>
        </w:tc>
      </w:tr>
      <w:tr>
        <w:trPr>
          <w:trHeight w:val="265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6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0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строительной техникой для нужд Загорского строительного участка Центрального филиала АО "ТК РусГидро"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bookmarkStart w:id="15" w:name="_GoBack"/>
            <w:bookmarkEnd w:id="15"/>
            <w:r>
              <w:rPr>
                <w:color w:val="000000"/>
                <w:sz w:val="24"/>
                <w:szCs w:val="24"/>
                <w:lang w:eastAsia="en-US"/>
              </w:rPr>
              <w:t>333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0" w:after="60"/>
        <w:ind w:left="1224" w:hanging="0"/>
        <w:outlineLvl w:val="2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before="0" w:after="60"/>
        <w:ind w:left="57" w:hanging="0"/>
        <w:outlineLvl w:val="2"/>
        <w:rPr>
          <w:sz w:val="24"/>
          <w:szCs w:val="24"/>
        </w:rPr>
      </w:pPr>
      <w:bookmarkStart w:id="16" w:name="__RefHeading___Toc37087_3980032840"/>
      <w:bookmarkEnd w:id="16"/>
      <w:r>
        <w:rPr>
          <w:rFonts w:eastAsia="Calibri"/>
          <w:b/>
          <w:sz w:val="24"/>
          <w:szCs w:val="24"/>
          <w:lang w:val="x-none" w:eastAsia="x-none"/>
        </w:rPr>
        <w:t xml:space="preserve">2.1.2. </w:t>
      </w:r>
      <w:bookmarkStart w:id="17" w:name="_Toc54643706"/>
      <w:bookmarkStart w:id="18" w:name="_Toc51339696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bookmarkEnd w:id="18"/>
      <w:r>
        <w:rPr>
          <w:rFonts w:eastAsia="Calibri"/>
          <w:b/>
          <w:sz w:val="24"/>
          <w:szCs w:val="24"/>
          <w:lang w:val="x-none" w:eastAsia="x-none"/>
        </w:rPr>
        <w:t>к срокам оказания услуг</w:t>
      </w:r>
      <w:bookmarkEnd w:id="17"/>
    </w:p>
    <w:p>
      <w:pPr>
        <w:pStyle w:val="Normal"/>
        <w:keepNext w:val="true"/>
        <w:numPr>
          <w:ilvl w:val="0"/>
          <w:numId w:val="0"/>
        </w:numPr>
        <w:spacing w:before="0" w:after="60"/>
        <w:outlineLvl w:val="0"/>
        <w:rPr>
          <w:sz w:val="24"/>
          <w:szCs w:val="24"/>
        </w:rPr>
      </w:pPr>
      <w:bookmarkStart w:id="19" w:name="__RefHeading___Toc37089_3980032840"/>
      <w:bookmarkEnd w:id="19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bookmarkStart w:id="20" w:name="_Toc54643707"/>
      <w:bookmarkStart w:id="21" w:name="_Toc51339697"/>
      <w:bookmarkStart w:id="22" w:name="_Toc5012512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23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21"/>
      <w:bookmarkEnd w:id="22"/>
      <w:bookmarkEnd w:id="23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20"/>
    </w:p>
    <w:tbl>
      <w:tblPr>
        <w:tblW w:w="973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2"/>
        <w:gridCol w:w="2562"/>
        <w:gridCol w:w="2691"/>
        <w:gridCol w:w="3332"/>
      </w:tblGrid>
      <w:tr>
        <w:trPr>
          <w:trHeight w:val="1312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418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997" w:hRule="atLeast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Calibri" w:cs="Calibri" w:cstheme="minorHAnsi"/>
                <w:b w:val="false"/>
                <w:bCs w:val="false"/>
                <w:kern w:val="2"/>
                <w:sz w:val="24"/>
                <w:szCs w:val="24"/>
                <w:lang w:eastAsia="ru-RU"/>
              </w:rPr>
              <w:t>ОКПД2 49.41.20.000 Оказание услуг строительной техникой для нужд Загорского строительного участка Центрального филиала АО "ТК РусГидро"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Mincho"/>
                <w:sz w:val="24"/>
                <w:szCs w:val="24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tabs>
          <w:tab w:val="clear" w:pos="0"/>
        </w:tabs>
        <w:ind w:left="0" w:hanging="0"/>
        <w:rPr/>
      </w:pPr>
      <w:r>
        <w:rPr/>
        <w:t xml:space="preserve">2.2. </w:t>
      </w:r>
      <w:bookmarkStart w:id="24" w:name="_Toc125378704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 xml:space="preserve">качеству </w:t>
      </w:r>
      <w:bookmarkEnd w:id="24"/>
      <w:r>
        <w:rPr>
          <w:lang w:val="ru-RU"/>
        </w:rPr>
        <w:t>продукции</w:t>
      </w:r>
    </w:p>
    <w:p>
      <w:pPr>
        <w:pStyle w:val="Normal"/>
        <w:numPr>
          <w:ilvl w:val="0"/>
          <w:numId w:val="0"/>
        </w:numPr>
        <w:spacing w:before="120" w:after="60"/>
        <w:outlineLvl w:val="3"/>
        <w:rPr>
          <w:b/>
          <w:bCs/>
        </w:rPr>
      </w:pPr>
      <w:r>
        <w:rPr>
          <w:b/>
          <w:bCs/>
        </w:rPr>
        <w:t xml:space="preserve">Таблица 4. Требования к качеству продукции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49.41.20.000 Оказание услуг строительной техникой для нужд Загорского строительного участка Центрального филиала АО "ТК РусГидро"</w:t>
      </w:r>
    </w:p>
    <w:tbl>
      <w:tblPr>
        <w:tblW w:w="14932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9"/>
        <w:gridCol w:w="3397"/>
        <w:gridCol w:w="245"/>
        <w:gridCol w:w="5537"/>
        <w:gridCol w:w="2946"/>
        <w:gridCol w:w="1568"/>
      </w:tblGrid>
      <w:tr>
        <w:trPr/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№ </w:t>
            </w: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3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bookmarkStart w:id="26" w:name="_Toc53499667_Копия_1"/>
            <w:r>
              <w:rPr>
                <w:b/>
                <w:bCs/>
                <w:sz w:val="20"/>
              </w:rPr>
              <w:t>1</w:t>
            </w:r>
            <w:bookmarkEnd w:id="26"/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sz w:val="20"/>
              </w:rPr>
              <w:t>Требования к оказанию услуг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техническим требованиям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0"/>
              </w:rPr>
              <w:t>Общие требования к оказанию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грунтовый</w:t>
            </w:r>
          </w:p>
        </w:tc>
        <w:tc>
          <w:tcPr>
            <w:tcW w:w="5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 менее 12 т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06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Услуги оказываются на объектах строительства Загорской ГАЭС-2 для </w:t>
            </w:r>
            <w:r>
              <w:rPr>
                <w:color w:val="000000"/>
                <w:sz w:val="20"/>
              </w:rPr>
              <w:t>выравнивания и уплотнения грунта и дорожного покрытия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Маршрут: </w:t>
            </w:r>
            <w:r>
              <w:rPr>
                <w:b w:val="false"/>
                <w:bCs w:val="false"/>
                <w:color w:val="000000"/>
                <w:sz w:val="20"/>
              </w:rPr>
              <w:t>Правый берег «Нижнего аккумулирующего бассейна»; Левый берег «Нижнего аккумулирующего бассейна»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0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color w:val="000000"/>
                <w:sz w:val="20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(ред. от 14.11.2023)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0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обеспечения безопасности перевозок пассажиров и грузов автомобильным транспортом и городским наземным электрическим транспортом», "Безопасность труда в строительстве. Часть 2. Строительное производство" (СНиП 12-04-2002).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«Правила безопасности опасных производственных объектов, на которых используются подъемные сооружения», «Правила по охране труда в строительстве», ГОСТ 25646-95 «Эксплуатация строительных машин. Общие требования».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b/>
              </w:rPr>
            </w:pPr>
            <w:r>
              <w:rPr>
                <w:b/>
              </w:rPr>
            </w:r>
            <w:bookmarkStart w:id="27" w:name="__RefHeading___Toc31499_2156146601"/>
            <w:bookmarkStart w:id="28" w:name="__RefHeading___Toc31499_2156146601"/>
            <w:bookmarkEnd w:id="28"/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/>
            </w:pPr>
            <w:r>
              <w:rPr>
                <w:sz w:val="20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 ред.</w:t>
            </w:r>
            <w:r>
              <w:rPr>
                <w:color w:val="392C69"/>
                <w:sz w:val="20"/>
              </w:rPr>
              <w:t xml:space="preserve"> </w:t>
            </w:r>
            <w:r>
              <w:rPr>
                <w:sz w:val="20"/>
              </w:rPr>
              <w:t xml:space="preserve"> от 17.10.2022 N 167).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Услуги, оказываемые Исполнителем, должны соответствовать ГОСТ Р 51005-96 «Услуги транспортные. Грузовые перевозки. Номенклатура показателей качества».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</w:rPr>
              <w:t>Используемая техника должна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1.1.8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sz w:val="20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1.1.9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0"/>
              </w:rPr>
              <w:t>Требования к процедурам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оказать услуги с применением экипажа автотранспортом, в соответствии с требованиями, изложенными в настоящих Технических требованиях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автотранспортом, на основании поступивших заявок, согласно п. 3.1. Договора.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Услуги оказываются персоналом Исполнителя с использованием </w:t>
            </w:r>
            <w:r>
              <w:rPr>
                <w:rFonts w:eastAsia="Calibri"/>
                <w:sz w:val="20"/>
              </w:rPr>
              <w:t>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534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200"/>
              <w:ind w:left="0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обязан обеспечить своевременное и надлежащее оформление в установленном порядке путевых листов.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 xml:space="preserve"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</w:t>
            </w:r>
            <w:r>
              <w:rPr>
                <w:rFonts w:eastAsia="Calibri"/>
                <w:bCs/>
                <w:sz w:val="20"/>
              </w:rPr>
              <w:t>автотранспор</w:t>
            </w:r>
            <w:r>
              <w:rPr>
                <w:rFonts w:eastAsia="Calibri"/>
                <w:bCs/>
                <w:color w:val="000000"/>
                <w:sz w:val="20"/>
              </w:rPr>
              <w:t xml:space="preserve">та </w:t>
            </w:r>
            <w:r>
              <w:rPr>
                <w:bCs/>
                <w:color w:val="000000"/>
                <w:sz w:val="20"/>
              </w:rPr>
              <w:t>ос</w:t>
            </w:r>
            <w:r>
              <w:rPr>
                <w:bCs/>
                <w:sz w:val="20"/>
              </w:rPr>
              <w:t>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1.2.6.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1.2.7.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производит страхование автотранспорта и несет ответственность за возможный ущерб, причиненный Заказчику в случае ненадлежащей эксплуатации Исполнителем автотранспорта.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1.2.8.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Исполнитель несет полную материальную ответственность за перевозимый груз с момента получения груза и до сдачи груза уполномоченному лицу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1.2.9.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0"/>
              </w:rPr>
              <w:t>1.2.10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Исполнитель, в случае ДТП, неисправности, невыхода на линию автотранспорта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>
          <w:trHeight w:val="90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Срок эксплуатации автотранспорта не должен превышать 12 лет.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rFonts w:eastAsia="Calibri"/>
                <w:b/>
                <w:lang w:val="x-none" w:eastAsia="x-none"/>
              </w:rPr>
            </w:pPr>
            <w:r>
              <w:rPr>
                <w:rFonts w:eastAsia="Calibri"/>
                <w:b/>
                <w:lang w:val="x-none" w:eastAsia="x-none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x-none"/>
              </w:rPr>
            </w:pPr>
            <w:r>
              <w:rPr>
                <w:rFonts w:eastAsia="Calibri"/>
                <w:b/>
                <w:sz w:val="20"/>
                <w:szCs w:val="20"/>
                <w:lang w:eastAsia="x-none"/>
              </w:rPr>
              <w:t>1.3.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</w:rPr>
              <w:t>Требования к персоналу исполнителя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движения»,  соблюдение установленных на объекте режимных требований при входе и выходе персонала, въезде, выезде автотранспорта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Cs/>
                <w:sz w:val="20"/>
              </w:rPr>
              <w:t>Допускать к управлению автотранспортом и специальным транспортом общего назначения водителей,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1.3.3.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1.3.4.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 – в зависимости от объема и сроков выполнения строительного-монтажных работ с применением автотранспорта.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</w:rPr>
            </w:pPr>
            <w:r>
              <w:rPr>
                <w:b/>
                <w:sz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sz w:val="20"/>
              </w:rPr>
              <w:t>1.4.1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sz w:val="20"/>
              </w:rPr>
              <w:t>По окончании оказания Услуг по Заявке Исполнитель в течение 2 (двух) рабочих дней предоставляет З</w:t>
            </w:r>
            <w:r>
              <w:rPr>
                <w:sz w:val="20"/>
                <w:szCs w:val="20"/>
              </w:rPr>
              <w:t>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Акты об оказании Услуг по форме Приложения № 4 к Договору,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УПД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Реестр товарно-транспортных накладных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 Копии Товарных накладных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</w:rPr>
            </w:pPr>
            <w:r>
              <w:rPr>
                <w:sz w:val="20"/>
              </w:rPr>
              <w:t>Учет перевезенного объема инертных материалов производится по факту перевозок и объема указанного в товарных накладных, подписанных уполномоченным представителем Заказчика.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</w:rPr>
            </w:pPr>
            <w:r>
              <w:rPr>
                <w:bCs/>
                <w:i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357" w:hanging="0"/>
        <w:jc w:val="center"/>
        <w:rPr>
          <w:sz w:val="24"/>
          <w:szCs w:val="24"/>
          <w:lang w:val="ru-RU"/>
        </w:rPr>
      </w:pPr>
      <w:bookmarkStart w:id="29" w:name="_Toc501251311"/>
      <w:bookmarkStart w:id="30" w:name="_Toc513396981"/>
      <w:bookmarkEnd w:id="29"/>
      <w:bookmarkEnd w:id="30"/>
      <w:r>
        <w:rPr>
          <w:sz w:val="24"/>
          <w:szCs w:val="24"/>
          <w:lang w:val="ru-RU"/>
        </w:rPr>
        <w:t>3. Тре</w:t>
      </w:r>
      <w:bookmarkStart w:id="31" w:name="_Toc125378714"/>
      <w:bookmarkStart w:id="32" w:name="_Toc53393312"/>
      <w:bookmarkStart w:id="33" w:name="_Toc53395937"/>
      <w:r>
        <w:rPr>
          <w:sz w:val="24"/>
          <w:szCs w:val="24"/>
          <w:lang w:val="ru-RU"/>
        </w:rPr>
        <w:t>бования к документации по ценообразованию</w:t>
      </w:r>
      <w:bookmarkEnd w:id="32"/>
      <w:bookmarkEnd w:id="33"/>
      <w:r>
        <w:rPr>
          <w:sz w:val="24"/>
          <w:szCs w:val="24"/>
          <w:lang w:val="ru-RU"/>
        </w:rPr>
        <w:t xml:space="preserve"> на этапе закупки</w:t>
      </w:r>
      <w:bookmarkEnd w:id="31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357" w:hanging="357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Normal"/>
        <w:ind w:left="2211" w:hanging="0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</w:rPr>
      </w:pPr>
      <w:r>
        <w:rPr>
          <w:color w:val="2C2D2E"/>
          <w:sz w:val="24"/>
          <w:szCs w:val="24"/>
          <w:lang w:eastAsia="x-none"/>
        </w:rPr>
        <w:t xml:space="preserve">Ведущий </w:t>
      </w:r>
      <w:r>
        <w:rPr>
          <w:color w:val="2C2D2E"/>
          <w:sz w:val="24"/>
          <w:szCs w:val="24"/>
          <w:lang w:eastAsia="x-none"/>
        </w:rPr>
        <w:t>специалист ГКДиЛ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 xml:space="preserve">                      </w:t>
      </w:r>
      <w:r>
        <w:rPr>
          <w:sz w:val="24"/>
          <w:szCs w:val="24"/>
          <w:lang w:eastAsia="x-none"/>
        </w:rPr>
        <w:t>Г.В. Мануилова</w:t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42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2211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B2ABAB"/>
          <w:sz w:val="20"/>
          <w:szCs w:val="20"/>
        </w:rPr>
      </w:pPr>
      <w:r>
        <w:rPr>
          <w:color w:val="B2ABAB"/>
          <w:sz w:val="20"/>
          <w:szCs w:val="20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>
          <w:color w:val="635F5F"/>
          <w:sz w:val="22"/>
          <w:szCs w:val="22"/>
        </w:rPr>
      </w:pPr>
      <w:r>
        <w:rPr>
          <w:color w:val="635F5F"/>
          <w:sz w:val="22"/>
          <w:szCs w:val="22"/>
        </w:rPr>
      </w:r>
    </w:p>
    <w:p>
      <w:pPr>
        <w:pStyle w:val="Normal"/>
        <w:rPr/>
      </w:pPr>
      <w:r>
        <w:rPr>
          <w:rStyle w:val="Strong"/>
          <w:b w:val="false"/>
          <w:bCs w:val="false"/>
          <w:color w:val="676060"/>
          <w:sz w:val="20"/>
          <w:szCs w:val="20"/>
        </w:rPr>
        <w:br/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3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" w:customStyle="1">
    <w:name w:val="caption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9" w:customStyle="1">
    <w:name w:val="Объект без заливки"/>
    <w:basedOn w:val="Normal"/>
    <w:qFormat/>
    <w:pPr/>
    <w:rPr/>
  </w:style>
  <w:style w:type="paragraph" w:styleId="Style40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1"/>
    <w:qFormat/>
    <w:pPr/>
    <w:rPr/>
  </w:style>
  <w:style w:type="paragraph" w:styleId="42" w:customStyle="1">
    <w:name w:val="Заглавие А4"/>
    <w:basedOn w:val="A4"/>
    <w:qFormat/>
    <w:pPr/>
    <w:rPr>
      <w:sz w:val="88"/>
    </w:rPr>
  </w:style>
  <w:style w:type="paragraph" w:styleId="43" w:customStyle="1">
    <w:name w:val="Заголовок А4"/>
    <w:basedOn w:val="A4"/>
    <w:qFormat/>
    <w:pPr/>
    <w:rPr>
      <w:sz w:val="48"/>
    </w:rPr>
  </w:style>
  <w:style w:type="paragraph" w:styleId="44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6"/>
    </w:rPr>
  </w:style>
  <w:style w:type="paragraph" w:styleId="0" w:customStyle="1">
    <w:name w:val="Заглавие А0"/>
    <w:basedOn w:val="A0"/>
    <w:qFormat/>
    <w:pPr/>
    <w:rPr>
      <w:sz w:val="192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41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42" w:customStyle="1">
    <w:name w:val="Фигуры"/>
    <w:basedOn w:val="Style41"/>
    <w:qFormat/>
    <w:pPr/>
    <w:rPr>
      <w:b/>
      <w:sz w:val="28"/>
    </w:rPr>
  </w:style>
  <w:style w:type="paragraph" w:styleId="Style43" w:customStyle="1">
    <w:name w:val="Заливка"/>
    <w:basedOn w:val="Style42"/>
    <w:qFormat/>
    <w:pPr/>
    <w:rPr/>
  </w:style>
  <w:style w:type="paragraph" w:styleId="Style44" w:customStyle="1">
    <w:name w:val="Заливка синим"/>
    <w:basedOn w:val="Style43"/>
    <w:qFormat/>
    <w:pPr/>
    <w:rPr>
      <w:color w:val="FFFFFF"/>
    </w:rPr>
  </w:style>
  <w:style w:type="paragraph" w:styleId="Style45" w:customStyle="1">
    <w:name w:val="Заливка зелёным"/>
    <w:basedOn w:val="Style43"/>
    <w:qFormat/>
    <w:pPr/>
    <w:rPr>
      <w:color w:val="FFFFFF"/>
    </w:rPr>
  </w:style>
  <w:style w:type="paragraph" w:styleId="Style46" w:customStyle="1">
    <w:name w:val="Заливка красным"/>
    <w:basedOn w:val="Style43"/>
    <w:qFormat/>
    <w:pPr/>
    <w:rPr>
      <w:color w:val="FFFFFF"/>
    </w:rPr>
  </w:style>
  <w:style w:type="paragraph" w:styleId="Style47" w:customStyle="1">
    <w:name w:val="Заливка жёлтым"/>
    <w:basedOn w:val="Style43"/>
    <w:qFormat/>
    <w:pPr/>
    <w:rPr>
      <w:color w:val="FFFFFF"/>
    </w:rPr>
  </w:style>
  <w:style w:type="paragraph" w:styleId="Style48" w:customStyle="1">
    <w:name w:val="Контур"/>
    <w:basedOn w:val="Style42"/>
    <w:qFormat/>
    <w:pPr/>
    <w:rPr/>
  </w:style>
  <w:style w:type="paragraph" w:styleId="Style49" w:customStyle="1">
    <w:name w:val="Контур синий"/>
    <w:basedOn w:val="Style48"/>
    <w:qFormat/>
    <w:pPr/>
    <w:rPr>
      <w:color w:val="355269"/>
    </w:rPr>
  </w:style>
  <w:style w:type="paragraph" w:styleId="Style50" w:customStyle="1">
    <w:name w:val="Контур зеленый"/>
    <w:basedOn w:val="Style48"/>
    <w:qFormat/>
    <w:pPr/>
    <w:rPr>
      <w:color w:val="127622"/>
    </w:rPr>
  </w:style>
  <w:style w:type="paragraph" w:styleId="Style51" w:customStyle="1">
    <w:name w:val="Контур красный"/>
    <w:basedOn w:val="Style48"/>
    <w:qFormat/>
    <w:pPr/>
    <w:rPr>
      <w:color w:val="C9211E"/>
    </w:rPr>
  </w:style>
  <w:style w:type="paragraph" w:styleId="Style52" w:customStyle="1">
    <w:name w:val="Контур жёлтый"/>
    <w:basedOn w:val="Style48"/>
    <w:qFormat/>
    <w:pPr/>
    <w:rPr>
      <w:color w:val="B47804"/>
    </w:rPr>
  </w:style>
  <w:style w:type="paragraph" w:styleId="Style53" w:customStyle="1">
    <w:name w:val="Линии"/>
    <w:basedOn w:val="Style41"/>
    <w:qFormat/>
    <w:pPr/>
    <w:rPr/>
  </w:style>
  <w:style w:type="paragraph" w:styleId="Style54" w:customStyle="1">
    <w:name w:val="Стрелки"/>
    <w:basedOn w:val="Style53"/>
    <w:qFormat/>
    <w:pPr/>
    <w:rPr/>
  </w:style>
  <w:style w:type="paragraph" w:styleId="Style55" w:customStyle="1">
    <w:name w:val="Штриховая линия"/>
    <w:basedOn w:val="Style53"/>
    <w:qFormat/>
    <w:pPr/>
    <w:rPr/>
  </w:style>
  <w:style w:type="paragraph" w:styleId="Master-page3LTGliederung1" w:customStyle="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88"/>
      <w:szCs w:val="24"/>
      <w:lang w:val="ru-RU" w:eastAsia="ru-RU" w:bidi="ar-SA"/>
    </w:rPr>
  </w:style>
  <w:style w:type="paragraph" w:styleId="Master-page3LTUntertitel" w:customStyle="1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Master-page3LTNotizen" w:customStyle="1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Master-page3LTHintergrundobjekte" w:customStyle="1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Master-page3LTHintergrund" w:customStyle="1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Calibri"/>
      <w:color w:val="auto"/>
      <w:kern w:val="2"/>
      <w:sz w:val="36"/>
      <w:szCs w:val="24"/>
      <w:lang w:val="ru-RU" w:eastAsia="ru-RU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Style56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7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8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Calibri"/>
      <w:color w:val="auto"/>
      <w:kern w:val="2"/>
      <w:sz w:val="40"/>
      <w:szCs w:val="24"/>
      <w:lang w:val="ru-RU" w:eastAsia="ru-RU" w:bidi="ar-SA"/>
    </w:rPr>
  </w:style>
  <w:style w:type="paragraph" w:styleId="110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Calibri"/>
      <w:color w:val="auto"/>
      <w:kern w:val="2"/>
      <w:sz w:val="64"/>
      <w:szCs w:val="24"/>
      <w:lang w:val="ru-RU" w:eastAsia="ru-RU" w:bidi="ar-SA"/>
    </w:rPr>
  </w:style>
  <w:style w:type="paragraph" w:styleId="29" w:customStyle="1">
    <w:name w:val="Структура 2"/>
    <w:basedOn w:val="110"/>
    <w:qFormat/>
    <w:pPr>
      <w:spacing w:before="227" w:after="0"/>
    </w:pPr>
    <w:rPr>
      <w:sz w:val="56"/>
    </w:rPr>
  </w:style>
  <w:style w:type="paragraph" w:styleId="36" w:customStyle="1">
    <w:name w:val="Структура 3"/>
    <w:basedOn w:val="29"/>
    <w:qFormat/>
    <w:pPr>
      <w:spacing w:before="170" w:after="0"/>
    </w:pPr>
    <w:rPr>
      <w:sz w:val="48"/>
    </w:rPr>
  </w:style>
  <w:style w:type="paragraph" w:styleId="45" w:customStyle="1">
    <w:name w:val="Структура 4"/>
    <w:basedOn w:val="36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5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1" w:customStyle="1">
    <w:name w:val="Структура 7"/>
    <w:basedOn w:val="61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7" w:customStyle="1">
    <w:name w:val="WW8Num17"/>
    <w:qFormat/>
  </w:style>
  <w:style w:type="numbering" w:styleId="10308036131" w:customStyle="1">
    <w:name w:val="103080361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D281-9AAA-4E7B-B49F-5B08304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AlterOffice/3.4.0.9$Linux_X86_64 LibreOffice_project/b8daf9e823b1a5463a2f48435ddc2e8696e7d4fc</Application>
  <AppVersion>15.0000</AppVersion>
  <Pages>9</Pages>
  <Words>1636</Words>
  <Characters>11511</Characters>
  <CharactersWithSpaces>12999</CharactersWithSpaces>
  <Paragraphs>192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2025-12-10T12:50:00Z</dcterms:created>
  <dc:creator>Быстров Олег Геннадьевич</dc:creator>
  <dc:description/>
  <dc:language>ru-RU</dc:language>
  <cp:lastModifiedBy>manuilovagv@corp.gidroogk.com</cp:lastModifiedBy>
  <cp:lastPrinted>2025-12-12T08:38:00Z</cp:lastPrinted>
  <dcterms:modified xsi:type="dcterms:W3CDTF">2026-05-15T11:31:35Z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