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1D" w:rsidRDefault="009F7F1D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1D" w:rsidRDefault="009F7F1D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1D" w:rsidRDefault="009F7F1D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1D" w:rsidRDefault="009F7F1D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1D" w:rsidRDefault="009F7F1D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1D" w:rsidRDefault="009F7F1D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1D" w:rsidRDefault="009F7F1D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1D" w:rsidRDefault="009F7F1D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1D" w:rsidRDefault="009F7F1D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1D" w:rsidRDefault="009F7F1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F7F1D" w:rsidRDefault="00666CD0">
      <w:pPr>
        <w:keepNext/>
        <w:keepLines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eastAsia="Calibri" w:hAnsi="Times New Roman" w:cs="Times New Roman"/>
          <w:b/>
          <w:sz w:val="28"/>
          <w:szCs w:val="20"/>
          <w:lang w:eastAsia="zh-CN"/>
        </w:rPr>
        <w:t>Технические требования на поставку МТР</w:t>
      </w:r>
      <w:bookmarkStart w:id="0" w:name="_GoBack"/>
      <w:bookmarkEnd w:id="0"/>
    </w:p>
    <w:p w:rsidR="009F7F1D" w:rsidRDefault="009F7F1D">
      <w:pPr>
        <w:jc w:val="center"/>
        <w:rPr>
          <w:rFonts w:eastAsia="Calibri" w:cs="Times New Roman"/>
          <w:b/>
          <w:lang w:eastAsia="zh-CN"/>
        </w:rPr>
      </w:pPr>
    </w:p>
    <w:p w:rsidR="009F7F1D" w:rsidRDefault="00666CD0">
      <w:pPr>
        <w:pStyle w:val="afd"/>
        <w:jc w:val="center"/>
      </w:pPr>
      <w:r>
        <w:rPr>
          <w:rFonts w:ascii="Times New Roman" w:eastAsia="Calibri" w:hAnsi="Times New Roman" w:cs="Times New Roman"/>
          <w:b/>
          <w:bCs/>
          <w:sz w:val="28"/>
          <w:lang w:eastAsia="zh-CN"/>
        </w:rPr>
        <w:t>ОКПД2</w:t>
      </w:r>
      <w:r>
        <w:rPr>
          <w:rFonts w:ascii="Times New Roman" w:eastAsiaTheme="minorHAnsi" w:hAnsi="Times New Roman" w:cs="Times New Roman"/>
          <w:b/>
          <w:bCs/>
          <w:sz w:val="28"/>
          <w:lang w:eastAsia="zh-CN"/>
        </w:rPr>
        <w:t xml:space="preserve"> 26.51.43.179 </w:t>
      </w:r>
      <w:r>
        <w:rPr>
          <w:rFonts w:ascii="Times New Roman" w:eastAsia="Calibri" w:hAnsi="Times New Roman" w:cs="Times New Roman"/>
          <w:b/>
          <w:bCs/>
          <w:sz w:val="28"/>
          <w:lang w:eastAsia="zh-CN"/>
        </w:rPr>
        <w:t>Поставка в аварийный з</w:t>
      </w:r>
      <w:r>
        <w:rPr>
          <w:rFonts w:ascii="Times New Roman" w:eastAsiaTheme="minorHAnsi" w:hAnsi="Times New Roman" w:cs="Times New Roman"/>
          <w:b/>
          <w:bCs/>
          <w:sz w:val="28"/>
          <w:lang w:eastAsia="zh-CN"/>
        </w:rPr>
        <w:t>апас регистратора электронного многоканального для нужд Фил</w:t>
      </w:r>
      <w:r>
        <w:rPr>
          <w:rFonts w:ascii="Times New Roman" w:hAnsi="Times New Roman"/>
          <w:b/>
          <w:bCs/>
          <w:sz w:val="28"/>
        </w:rPr>
        <w:t>иала ПАО «РусГидро» –</w:t>
      </w:r>
    </w:p>
    <w:p w:rsidR="009F7F1D" w:rsidRDefault="00666CD0">
      <w:pPr>
        <w:pStyle w:val="afd"/>
        <w:spacing w:after="283"/>
        <w:jc w:val="center"/>
      </w:pPr>
      <w:r>
        <w:rPr>
          <w:rFonts w:ascii="Times New Roman" w:hAnsi="Times New Roman"/>
          <w:b/>
          <w:bCs/>
          <w:sz w:val="28"/>
        </w:rPr>
        <w:t>«Саратовская ГЭС»</w:t>
      </w:r>
    </w:p>
    <w:p w:rsidR="009F7F1D" w:rsidRDefault="009F7F1D">
      <w:pPr>
        <w:spacing w:after="283"/>
        <w:rPr>
          <w:rFonts w:ascii="Times New Roman" w:hAnsi="Times New Roman"/>
          <w:b/>
          <w:bCs/>
          <w:sz w:val="28"/>
        </w:rPr>
      </w:pPr>
    </w:p>
    <w:p w:rsidR="009F7F1D" w:rsidRPr="003A593D" w:rsidRDefault="00666CD0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0"/>
          <w:lang w:eastAsia="zh-CN"/>
        </w:rPr>
        <w:t xml:space="preserve">Лот № </w:t>
      </w:r>
      <w:r w:rsidR="003A593D">
        <w:rPr>
          <w:rFonts w:ascii="Times New Roman" w:eastAsia="Calibri" w:hAnsi="Times New Roman" w:cs="Times New Roman"/>
          <w:b/>
          <w:sz w:val="28"/>
          <w:szCs w:val="20"/>
          <w:lang w:val="en-US" w:eastAsia="zh-CN"/>
        </w:rPr>
        <w:t>5-АЗ-2026-СарГЭС</w:t>
      </w:r>
    </w:p>
    <w:p w:rsidR="009F7F1D" w:rsidRDefault="00666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>
        <w:br w:type="page"/>
      </w:r>
    </w:p>
    <w:p w:rsidR="009F7F1D" w:rsidRDefault="00666CD0">
      <w:pPr>
        <w:spacing w:after="0" w:line="240" w:lineRule="auto"/>
        <w:jc w:val="center"/>
        <w:rPr>
          <w:rStyle w:val="10"/>
          <w:rFonts w:eastAsia="Calibri"/>
          <w:szCs w:val="24"/>
        </w:rPr>
      </w:pPr>
      <w:bookmarkStart w:id="1" w:name="_Toc157604365"/>
      <w:bookmarkStart w:id="2" w:name="_Toc132807931"/>
      <w:bookmarkStart w:id="3" w:name="_Toc132807717"/>
      <w:r>
        <w:rPr>
          <w:rStyle w:val="10"/>
          <w:rFonts w:eastAsiaTheme="minorHAnsi"/>
          <w:szCs w:val="24"/>
        </w:rPr>
        <w:lastRenderedPageBreak/>
        <w:t>СОДЕРЖАНИЕ</w:t>
      </w:r>
      <w:bookmarkEnd w:id="1"/>
      <w:bookmarkEnd w:id="2"/>
      <w:bookmarkEnd w:id="3"/>
    </w:p>
    <w:p w:rsidR="009F7F1D" w:rsidRDefault="009F7F1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7F1D" w:rsidRDefault="009F7F1D">
      <w:pPr>
        <w:pStyle w:val="af7"/>
        <w:ind w:left="0" w:firstLine="567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88533445"/>
        <w:docPartObj>
          <w:docPartGallery w:val="Table of Contents"/>
          <w:docPartUnique/>
        </w:docPartObj>
      </w:sdtPr>
      <w:sdtEndPr/>
      <w:sdtContent>
        <w:p w:rsidR="009F7F1D" w:rsidRDefault="009F7F1D">
          <w:pPr>
            <w:pStyle w:val="afc"/>
            <w:rPr>
              <w:rFonts w:ascii="Times New Roman" w:hAnsi="Times New Roman" w:cs="Times New Roman"/>
            </w:rPr>
          </w:pPr>
        </w:p>
        <w:p w:rsidR="009F7F1D" w:rsidRDefault="00666CD0">
          <w:pPr>
            <w:pStyle w:val="11"/>
            <w:tabs>
              <w:tab w:val="right" w:leader="dot" w:pos="9345"/>
            </w:tabs>
          </w:pPr>
          <w:r>
            <w:fldChar w:fldCharType="begin"/>
          </w:r>
          <w:r>
            <w:rPr>
              <w:rStyle w:val="ac"/>
              <w:rFonts w:ascii="Times New Roman" w:hAnsi="Times New Roman"/>
              <w:webHidden/>
            </w:rPr>
            <w:instrText xml:space="preserve"> TOC \z \o "1-3" \u \h</w:instrText>
          </w:r>
          <w:r>
            <w:rPr>
              <w:rStyle w:val="ac"/>
              <w:rFonts w:ascii="Times New Roman" w:hAnsi="Times New Roman"/>
            </w:rPr>
            <w:fldChar w:fldCharType="separate"/>
          </w:r>
          <w:hyperlink w:anchor="_Toc1576043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_Toc157604365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c"/>
                <w:rFonts w:ascii="Times New Roman" w:hAnsi="Times New Roman"/>
                <w:webHidden/>
              </w:rPr>
              <w:t>СОДЕРЖАНИЕ</w:t>
            </w:r>
            <w:r>
              <w:rPr>
                <w:rStyle w:val="ac"/>
                <w:rFonts w:ascii="Times New Roman" w:hAnsi="Times New Roman"/>
                <w:webHidden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9F7F1D" w:rsidRDefault="00666CD0">
          <w:pPr>
            <w:pStyle w:val="11"/>
            <w:tabs>
              <w:tab w:val="left" w:pos="440"/>
              <w:tab w:val="right" w:leader="dot" w:pos="9345"/>
            </w:tabs>
          </w:pPr>
          <w:hyperlink w:anchor="_Toc157604366">
            <w:r>
              <w:rPr>
                <w:rStyle w:val="ac"/>
                <w:rFonts w:ascii="Times New Roman" w:hAnsi="Times New Roman"/>
                <w:caps/>
                <w:webHidden/>
              </w:rPr>
              <w:t>1.</w:t>
            </w:r>
            <w:r>
              <w:rPr>
                <w:rStyle w:val="ac"/>
                <w:rFonts w:ascii="Times New Roman" w:eastAsiaTheme="minorEastAsia" w:hAnsi="Times New Roman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_Toc157604366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c"/>
                <w:rFonts w:ascii="Times New Roman" w:hAnsi="Times New Roman"/>
              </w:rPr>
              <w:t>Общие сведения</w:t>
            </w:r>
            <w:r>
              <w:rPr>
                <w:rStyle w:val="ac"/>
                <w:rFonts w:ascii="Times New Roman" w:hAnsi="Times New Roman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F7F1D" w:rsidRDefault="00666CD0">
          <w:pPr>
            <w:pStyle w:val="11"/>
            <w:tabs>
              <w:tab w:val="left" w:pos="440"/>
              <w:tab w:val="right" w:leader="dot" w:pos="9345"/>
            </w:tabs>
          </w:pPr>
          <w:hyperlink w:anchor="_Toc157604367">
            <w:r>
              <w:rPr>
                <w:rStyle w:val="ac"/>
                <w:rFonts w:ascii="Times New Roman" w:hAnsi="Times New Roman"/>
                <w:webHidden/>
              </w:rPr>
              <w:t>2.</w:t>
            </w:r>
            <w:r>
              <w:rPr>
                <w:rStyle w:val="ac"/>
                <w:rFonts w:ascii="Times New Roman" w:eastAsiaTheme="minorEastAsia" w:hAnsi="Times New Roman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_Toc157604367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c"/>
                <w:rFonts w:ascii="Times New Roman" w:hAnsi="Times New Roman"/>
              </w:rPr>
              <w:t>Требования к продукции</w:t>
            </w:r>
            <w:r>
              <w:rPr>
                <w:rStyle w:val="ac"/>
                <w:rFonts w:ascii="Times New Roman" w:hAnsi="Times New Roman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F7F1D" w:rsidRDefault="00666CD0">
          <w:pPr>
            <w:pStyle w:val="11"/>
            <w:tabs>
              <w:tab w:val="right" w:leader="dot" w:pos="9345"/>
            </w:tabs>
          </w:pPr>
          <w:hyperlink w:anchor="_Toc15760436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_Toc157604368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c"/>
                <w:rFonts w:ascii="Times New Roman" w:hAnsi="Times New Roman"/>
                <w:webHidden/>
              </w:rPr>
              <w:t>Тип, марк</w:t>
            </w:r>
            <w:r>
              <w:rPr>
                <w:rStyle w:val="ac"/>
                <w:rFonts w:ascii="Times New Roman" w:hAnsi="Times New Roman"/>
                <w:webHidden/>
              </w:rPr>
              <w:t>а</w:t>
            </w:r>
            <w:r>
              <w:rPr>
                <w:rStyle w:val="ac"/>
                <w:rFonts w:ascii="Times New Roman" w:hAnsi="Times New Roman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9F7F1D" w:rsidRDefault="00666CD0">
          <w:pPr>
            <w:pStyle w:val="11"/>
            <w:tabs>
              <w:tab w:val="left" w:pos="440"/>
              <w:tab w:val="right" w:leader="dot" w:pos="9345"/>
            </w:tabs>
          </w:pPr>
          <w:hyperlink w:anchor="_Toc157604369">
            <w:r>
              <w:rPr>
                <w:rStyle w:val="ac"/>
                <w:rFonts w:ascii="Times New Roman" w:hAnsi="Times New Roman"/>
                <w:webHidden/>
              </w:rPr>
              <w:t>3.</w:t>
            </w:r>
            <w:r>
              <w:rPr>
                <w:rStyle w:val="ac"/>
                <w:rFonts w:ascii="Times New Roman" w:eastAsiaTheme="minorEastAsia" w:hAnsi="Times New Roman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_Toc157604369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c"/>
                <w:rFonts w:ascii="Times New Roman" w:hAnsi="Times New Roman"/>
              </w:rPr>
              <w:t>Требования к документации по ценообразованию</w:t>
            </w:r>
            <w:r>
              <w:rPr>
                <w:rStyle w:val="ac"/>
                <w:rFonts w:ascii="Times New Roman" w:hAnsi="Times New Roman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9F7F1D" w:rsidRDefault="00666CD0">
          <w:pPr>
            <w:pStyle w:val="11"/>
            <w:tabs>
              <w:tab w:val="left" w:pos="440"/>
              <w:tab w:val="right" w:leader="dot" w:pos="9345"/>
            </w:tabs>
          </w:pPr>
          <w:hyperlink w:anchor="_Toc157604370">
            <w:r>
              <w:rPr>
                <w:rStyle w:val="ac"/>
                <w:rFonts w:ascii="Times New Roman" w:hAnsi="Times New Roman"/>
                <w:webHidden/>
              </w:rPr>
              <w:t>4.</w:t>
            </w:r>
            <w:r>
              <w:rPr>
                <w:rStyle w:val="ac"/>
                <w:rFonts w:ascii="Times New Roman" w:eastAsiaTheme="minorEastAsia" w:hAnsi="Times New Roman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_Toc157604370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c"/>
                <w:rFonts w:ascii="Times New Roman" w:hAnsi="Times New Roman"/>
              </w:rPr>
              <w:t>Приложения</w:t>
            </w:r>
            <w:r>
              <w:rPr>
                <w:rStyle w:val="ac"/>
                <w:rFonts w:ascii="Times New Roman" w:hAnsi="Times New Roman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9F7F1D" w:rsidRDefault="00666CD0">
          <w:pPr>
            <w:pStyle w:val="11"/>
            <w:tabs>
              <w:tab w:val="right" w:leader="dot" w:pos="9345"/>
            </w:tabs>
          </w:pPr>
          <w:hyperlink w:anchor="_Toc1576043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_Toc157604371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c"/>
                <w:rFonts w:ascii="Times New Roman" w:hAnsi="Times New Roman"/>
                <w:webHidden/>
              </w:rPr>
              <w:t>Приложение №1 к Техническим требованиям</w:t>
            </w:r>
            <w:r>
              <w:rPr>
                <w:rStyle w:val="ac"/>
                <w:rFonts w:ascii="Times New Roman" w:hAnsi="Times New Roman"/>
                <w:webHidden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ac"/>
              <w:rFonts w:ascii="Times New Roman" w:hAnsi="Times New Roman"/>
            </w:rPr>
            <w:fldChar w:fldCharType="end"/>
          </w:r>
        </w:p>
      </w:sdtContent>
    </w:sdt>
    <w:p w:rsidR="009F7F1D" w:rsidRDefault="009F7F1D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lang w:eastAsia="ru-RU"/>
        </w:rPr>
      </w:pPr>
    </w:p>
    <w:p w:rsidR="009F7F1D" w:rsidRDefault="009F7F1D">
      <w:pPr>
        <w:rPr>
          <w:rFonts w:ascii="Times New Roman" w:hAnsi="Times New Roman" w:cs="Times New Roman"/>
        </w:rPr>
      </w:pPr>
    </w:p>
    <w:p w:rsidR="009F7F1D" w:rsidRDefault="00666CD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9F7F1D" w:rsidRDefault="00666CD0">
      <w:pPr>
        <w:pStyle w:val="1"/>
        <w:keepLines/>
        <w:numPr>
          <w:ilvl w:val="0"/>
          <w:numId w:val="1"/>
        </w:numPr>
        <w:spacing w:before="120" w:after="120"/>
        <w:ind w:left="357" w:hanging="357"/>
        <w:jc w:val="left"/>
        <w:rPr>
          <w:caps/>
          <w:sz w:val="28"/>
          <w:szCs w:val="28"/>
          <w:lang w:val="ru-RU"/>
        </w:rPr>
      </w:pPr>
      <w:bookmarkStart w:id="4" w:name="_Toc152770737"/>
      <w:bookmarkStart w:id="5" w:name="_Toc51339692"/>
      <w:bookmarkStart w:id="6" w:name="_Toc157604366"/>
      <w:r>
        <w:rPr>
          <w:sz w:val="28"/>
          <w:szCs w:val="28"/>
          <w:lang w:val="ru-RU"/>
        </w:rPr>
        <w:lastRenderedPageBreak/>
        <w:t>Общие сведения</w:t>
      </w:r>
      <w:bookmarkEnd w:id="4"/>
      <w:bookmarkEnd w:id="5"/>
      <w:bookmarkEnd w:id="6"/>
    </w:p>
    <w:p w:rsidR="009F7F1D" w:rsidRDefault="00666CD0">
      <w:pPr>
        <w:pStyle w:val="4"/>
        <w:numPr>
          <w:ilvl w:val="1"/>
          <w:numId w:val="1"/>
        </w:numPr>
        <w:rPr>
          <w:rFonts w:ascii="Times New Roman" w:hAnsi="Times New Roman"/>
        </w:rPr>
      </w:pPr>
      <w:bookmarkStart w:id="7" w:name="_Toc46743505"/>
      <w:bookmarkStart w:id="8" w:name="_Toc152770738"/>
      <w:r>
        <w:rPr>
          <w:rFonts w:ascii="Times New Roman" w:hAnsi="Times New Roman"/>
        </w:rPr>
        <w:t>Обозначения и сокращения</w:t>
      </w:r>
      <w:bookmarkEnd w:id="7"/>
      <w:bookmarkEnd w:id="8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F7F1D">
        <w:trPr>
          <w:cantSplit/>
          <w:trHeight w:val="2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F1D" w:rsidRPr="003A593D" w:rsidRDefault="00666CD0">
            <w:pPr>
              <w:widowControl w:val="0"/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bookmarkStart w:id="9" w:name="_Hlk152764660"/>
            <w:bookmarkStart w:id="10" w:name="_Hlk152764629"/>
            <w:bookmarkEnd w:id="9"/>
            <w:bookmarkEnd w:id="10"/>
            <w:r w:rsidRPr="003A593D">
              <w:rPr>
                <w:rFonts w:ascii="Times New Roman" w:hAnsi="Times New Roman"/>
                <w:sz w:val="24"/>
                <w:szCs w:val="24"/>
              </w:rPr>
              <w:t>КП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F1D" w:rsidRPr="003A593D" w:rsidRDefault="00666CD0">
            <w:pPr>
              <w:widowControl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A593D">
              <w:rPr>
                <w:rFonts w:ascii="Times New Roman" w:hAnsi="Times New Roman"/>
                <w:sz w:val="24"/>
                <w:szCs w:val="24"/>
              </w:rPr>
              <w:t>Коммерческое предложение</w:t>
            </w:r>
          </w:p>
        </w:tc>
      </w:tr>
      <w:tr w:rsidR="009F7F1D">
        <w:trPr>
          <w:cantSplit/>
          <w:trHeight w:val="2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F1D" w:rsidRPr="003A593D" w:rsidRDefault="00666CD0">
            <w:pPr>
              <w:widowControl w:val="0"/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A593D">
              <w:rPr>
                <w:rFonts w:ascii="Times New Roman" w:hAnsi="Times New Roman"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F1D" w:rsidRPr="003A593D" w:rsidRDefault="00666CD0">
            <w:pPr>
              <w:widowControl w:val="0"/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A593D"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</w:tr>
    </w:tbl>
    <w:p w:rsidR="009F7F1D" w:rsidRDefault="00666CD0">
      <w:pPr>
        <w:pStyle w:val="4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закупаемой продукции</w:t>
      </w:r>
    </w:p>
    <w:p w:rsidR="009F7F1D" w:rsidRDefault="00666CD0">
      <w:pPr>
        <w:pStyle w:val="afd"/>
        <w:spacing w:line="240" w:lineRule="auto"/>
        <w:ind w:firstLine="709"/>
        <w:rPr>
          <w:rFonts w:eastAsia="Calibri" w:cs="Times New Roman"/>
          <w:sz w:val="18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lang w:eastAsia="zh-CN"/>
        </w:rPr>
        <w:t>ОКПД2</w:t>
      </w:r>
      <w:r>
        <w:rPr>
          <w:rFonts w:ascii="Times New Roman" w:eastAsiaTheme="minorHAnsi" w:hAnsi="Times New Roman" w:cs="Times New Roman"/>
          <w:bCs/>
          <w:sz w:val="24"/>
          <w:lang w:eastAsia="zh-CN"/>
        </w:rPr>
        <w:t xml:space="preserve"> 27.33.13.161</w:t>
      </w:r>
      <w:r>
        <w:rPr>
          <w:rFonts w:ascii="Times New Roman" w:eastAsia="Calibri" w:hAnsi="Times New Roman" w:cs="Times New Roman"/>
          <w:bCs/>
          <w:sz w:val="24"/>
          <w:lang w:eastAsia="zh-CN"/>
        </w:rPr>
        <w:t>Поставка в аварийный з</w:t>
      </w:r>
      <w:r>
        <w:rPr>
          <w:rFonts w:ascii="Times New Roman" w:eastAsiaTheme="minorHAnsi" w:hAnsi="Times New Roman" w:cs="Times New Roman"/>
          <w:bCs/>
          <w:sz w:val="24"/>
          <w:lang w:eastAsia="zh-CN"/>
        </w:rPr>
        <w:t xml:space="preserve">апас </w:t>
      </w:r>
      <w:r>
        <w:rPr>
          <w:rFonts w:ascii="Times New Roman" w:eastAsiaTheme="minorHAnsi" w:hAnsi="Times New Roman" w:cs="Times New Roman"/>
          <w:bCs/>
          <w:sz w:val="24"/>
          <w:lang w:eastAsia="zh-CN"/>
        </w:rPr>
        <w:t>регистратора электронного многоканального для нужд Филиала ПАО «Ру</w:t>
      </w:r>
      <w:r>
        <w:rPr>
          <w:rFonts w:ascii="Times New Roman" w:hAnsi="Times New Roman"/>
          <w:bCs/>
          <w:sz w:val="24"/>
        </w:rPr>
        <w:t>сГидро» –«Саратовская ГЭС»</w:t>
      </w:r>
    </w:p>
    <w:p w:rsidR="009F7F1D" w:rsidRDefault="00666CD0">
      <w:pPr>
        <w:pStyle w:val="4"/>
        <w:numPr>
          <w:ilvl w:val="1"/>
          <w:numId w:val="1"/>
        </w:numPr>
        <w:rPr>
          <w:rFonts w:ascii="Times New Roman" w:hAnsi="Times New Roman"/>
        </w:rPr>
      </w:pPr>
      <w:bookmarkStart w:id="11" w:name="__RefHeading___Toc128567050"/>
      <w:bookmarkEnd w:id="11"/>
      <w:r>
        <w:rPr>
          <w:rFonts w:ascii="Times New Roman" w:hAnsi="Times New Roman"/>
        </w:rPr>
        <w:t>Цель использования закупаемой продукции</w:t>
      </w:r>
    </w:p>
    <w:p w:rsidR="009F7F1D" w:rsidRPr="003A593D" w:rsidRDefault="00666CD0">
      <w:pPr>
        <w:pStyle w:val="af7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3A593D">
        <w:rPr>
          <w:rFonts w:ascii="Times New Roman" w:hAnsi="Times New Roman" w:cs="Times New Roman"/>
        </w:rPr>
        <w:t>Поддержание работоспособного состояния оборудования сети постоянного тока</w:t>
      </w:r>
    </w:p>
    <w:p w:rsidR="009F7F1D" w:rsidRPr="003A593D" w:rsidRDefault="00666CD0">
      <w:pPr>
        <w:pStyle w:val="af7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3A593D">
        <w:rPr>
          <w:rFonts w:ascii="Times New Roman" w:hAnsi="Times New Roman" w:cs="Times New Roman"/>
          <w:bCs/>
        </w:rPr>
        <w:t>Приобретение р</w:t>
      </w:r>
      <w:r w:rsidRPr="003A593D">
        <w:rPr>
          <w:rFonts w:ascii="Times New Roman" w:eastAsiaTheme="minorHAnsi" w:hAnsi="Times New Roman" w:cs="Times New Roman"/>
          <w:bCs/>
          <w:szCs w:val="20"/>
          <w:lang w:eastAsia="zh-CN"/>
        </w:rPr>
        <w:t>егистратора электронного многоканал</w:t>
      </w:r>
      <w:r w:rsidRPr="003A593D">
        <w:rPr>
          <w:rFonts w:ascii="Times New Roman" w:eastAsiaTheme="minorHAnsi" w:hAnsi="Times New Roman" w:cs="Times New Roman"/>
          <w:bCs/>
          <w:szCs w:val="20"/>
          <w:lang w:eastAsia="zh-CN"/>
        </w:rPr>
        <w:t xml:space="preserve">ьного </w:t>
      </w:r>
      <w:r w:rsidRPr="003A593D">
        <w:rPr>
          <w:rFonts w:ascii="Times New Roman" w:hAnsi="Times New Roman" w:cs="Times New Roman"/>
        </w:rPr>
        <w:t>для обеспечения бесперебойной работы сети постоянного тока</w:t>
      </w:r>
      <w:r w:rsidRPr="003A593D">
        <w:rPr>
          <w:rFonts w:ascii="Times New Roman" w:hAnsi="Times New Roman" w:cs="Times New Roman"/>
          <w:bCs/>
        </w:rPr>
        <w:t xml:space="preserve"> Филиала ПАО «РусГидро» - «Саратовская ГЭС» в аварийный запас.</w:t>
      </w:r>
    </w:p>
    <w:p w:rsidR="009F7F1D" w:rsidRDefault="00666CD0">
      <w:pPr>
        <w:pStyle w:val="1"/>
        <w:keepLines/>
        <w:numPr>
          <w:ilvl w:val="0"/>
          <w:numId w:val="1"/>
        </w:numPr>
        <w:spacing w:before="120" w:after="120"/>
        <w:ind w:left="357" w:hanging="357"/>
        <w:jc w:val="left"/>
        <w:rPr>
          <w:sz w:val="28"/>
          <w:szCs w:val="28"/>
          <w:lang w:val="ru-RU"/>
        </w:rPr>
      </w:pPr>
      <w:bookmarkStart w:id="12" w:name="_Toc157604367"/>
      <w:r>
        <w:rPr>
          <w:sz w:val="28"/>
          <w:szCs w:val="28"/>
          <w:lang w:val="ru-RU"/>
        </w:rPr>
        <w:t>Требования к продукции</w:t>
      </w:r>
      <w:bookmarkEnd w:id="12"/>
    </w:p>
    <w:p w:rsidR="009F7F1D" w:rsidRDefault="00666CD0">
      <w:pPr>
        <w:pStyle w:val="4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объемам поставки</w:t>
      </w:r>
    </w:p>
    <w:p w:rsidR="009F7F1D" w:rsidRPr="003A593D" w:rsidRDefault="00666CD0">
      <w:pPr>
        <w:rPr>
          <w:rFonts w:ascii="Times New Roman" w:hAnsi="Times New Roman" w:cs="Times New Roman"/>
          <w:sz w:val="24"/>
          <w:szCs w:val="24"/>
        </w:rPr>
      </w:pPr>
      <w:r w:rsidRPr="003A593D">
        <w:rPr>
          <w:rFonts w:ascii="Times New Roman" w:hAnsi="Times New Roman" w:cs="Times New Roman"/>
          <w:sz w:val="24"/>
          <w:szCs w:val="24"/>
        </w:rPr>
        <w:t xml:space="preserve">Таблица 1.  </w:t>
      </w:r>
      <w:r w:rsidRPr="003A593D">
        <w:rPr>
          <w:rFonts w:ascii="Times New Roman" w:hAnsi="Times New Roman" w:cs="Times New Roman"/>
          <w:sz w:val="24"/>
          <w:szCs w:val="24"/>
        </w:rPr>
        <w:t>Перечень и объем закупаемой продукции</w:t>
      </w:r>
    </w:p>
    <w:tbl>
      <w:tblPr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676"/>
        <w:gridCol w:w="5525"/>
        <w:gridCol w:w="1732"/>
        <w:gridCol w:w="1638"/>
      </w:tblGrid>
      <w:tr w:rsidR="009F7F1D" w:rsidRPr="003A593D" w:rsidTr="003A593D">
        <w:trPr>
          <w:trHeight w:val="20"/>
          <w:tblHeader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7F1D" w:rsidRPr="003A593D" w:rsidRDefault="00666C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9F7F1D" w:rsidRPr="003A593D" w:rsidTr="003A593D">
        <w:trPr>
          <w:trHeight w:val="20"/>
          <w:tblHeader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7F1D" w:rsidRPr="003A593D" w:rsidTr="003A593D">
        <w:trPr>
          <w:trHeight w:val="2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9F7F1D">
            <w:pPr>
              <w:pStyle w:val="af7"/>
              <w:widowControl w:val="0"/>
              <w:numPr>
                <w:ilvl w:val="0"/>
                <w:numId w:val="8"/>
              </w:numPr>
              <w:ind w:left="357" w:hanging="357"/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sz w:val="24"/>
                <w:szCs w:val="24"/>
              </w:rPr>
              <w:t>Регистратор электронный многоканальный</w:t>
            </w:r>
          </w:p>
          <w:p w:rsidR="009F7F1D" w:rsidRPr="003A593D" w:rsidRDefault="00666C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sz w:val="24"/>
                <w:szCs w:val="24"/>
              </w:rPr>
              <w:t>Ф1772—1—1—8АВ—8АВ—0—16Р—0—2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Pr="003A593D" w:rsidRDefault="00666C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F7F1D" w:rsidRDefault="009F7F1D">
      <w:pPr>
        <w:pStyle w:val="4"/>
        <w:numPr>
          <w:ilvl w:val="0"/>
          <w:numId w:val="0"/>
        </w:numPr>
        <w:ind w:left="1069"/>
        <w:rPr>
          <w:rFonts w:ascii="Times New Roman" w:hAnsi="Times New Roman"/>
        </w:rPr>
      </w:pPr>
    </w:p>
    <w:p w:rsidR="009F7F1D" w:rsidRDefault="00666CD0">
      <w:pPr>
        <w:pStyle w:val="4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срокам поставки продукции</w:t>
      </w:r>
    </w:p>
    <w:p w:rsidR="009F7F1D" w:rsidRDefault="00666C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осуществляется единовременно.</w:t>
      </w:r>
    </w:p>
    <w:p w:rsidR="009F7F1D" w:rsidRDefault="00666CD0">
      <w:pPr>
        <w:rPr>
          <w:rFonts w:ascii="Times New Roman" w:hAnsi="Times New Roman" w:cs="Times New Roman"/>
          <w:sz w:val="24"/>
        </w:rPr>
      </w:pPr>
      <w:bookmarkStart w:id="13" w:name="__RefHeading___Toc128567056"/>
      <w:bookmarkEnd w:id="13"/>
      <w:r>
        <w:rPr>
          <w:rFonts w:ascii="Times New Roman" w:hAnsi="Times New Roman" w:cs="Times New Roman"/>
          <w:sz w:val="24"/>
          <w:szCs w:val="24"/>
        </w:rPr>
        <w:t xml:space="preserve">Таблица 2.  </w:t>
      </w:r>
      <w:bookmarkStart w:id="14" w:name="_Hlk50465284"/>
      <w:r>
        <w:rPr>
          <w:rFonts w:ascii="Times New Roman" w:hAnsi="Times New Roman" w:cs="Times New Roman"/>
          <w:sz w:val="24"/>
          <w:szCs w:val="24"/>
        </w:rPr>
        <w:t xml:space="preserve">Требования по срокам </w:t>
      </w:r>
      <w:bookmarkEnd w:id="14"/>
      <w:r>
        <w:rPr>
          <w:rFonts w:ascii="Times New Roman" w:hAnsi="Times New Roman" w:cs="Times New Roman"/>
          <w:sz w:val="24"/>
          <w:szCs w:val="24"/>
        </w:rPr>
        <w:t>поставки продукции</w:t>
      </w:r>
    </w:p>
    <w:tbl>
      <w:tblPr>
        <w:tblW w:w="50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932"/>
        <w:gridCol w:w="2862"/>
        <w:gridCol w:w="2590"/>
        <w:gridCol w:w="3187"/>
      </w:tblGrid>
      <w:tr w:rsidR="009F7F1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9F7F1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pStyle w:val="afa"/>
              <w:keepNext w:val="0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pStyle w:val="afa"/>
              <w:keepNext w:val="0"/>
              <w:widowControl w:val="0"/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F7F1D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0"/>
                <w:numId w:val="3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Регистратор электронный многоканальный</w:t>
            </w:r>
          </w:p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Ф1772—1—1—8АВ—8АВ—0—16Р—0—2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30.11.2026 г.</w:t>
            </w:r>
          </w:p>
        </w:tc>
      </w:tr>
    </w:tbl>
    <w:p w:rsidR="009F7F1D" w:rsidRDefault="009F7F1D">
      <w:pPr>
        <w:sectPr w:rsidR="009F7F1D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16384"/>
        </w:sectPr>
      </w:pPr>
    </w:p>
    <w:p w:rsidR="009F7F1D" w:rsidRDefault="00666CD0">
      <w:pPr>
        <w:pStyle w:val="4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Требования к качеству продукции</w:t>
      </w:r>
    </w:p>
    <w:p w:rsidR="009F7F1D" w:rsidRDefault="00666CD0">
      <w:pPr>
        <w:rPr>
          <w:rFonts w:ascii="Times New Roman" w:hAnsi="Times New Roman" w:cs="Times New Roman"/>
        </w:rPr>
      </w:pPr>
      <w:bookmarkStart w:id="15" w:name="__RefHeading___Toc128567058"/>
      <w:bookmarkEnd w:id="15"/>
      <w:r>
        <w:rPr>
          <w:rFonts w:ascii="Times New Roman" w:hAnsi="Times New Roman" w:cs="Times New Roman"/>
          <w:szCs w:val="24"/>
        </w:rPr>
        <w:t>Таблица 3. Общие требования к продукции</w:t>
      </w:r>
    </w:p>
    <w:p w:rsidR="009F7F1D" w:rsidRDefault="00666CD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Наименование продукции (позици1 № 1</w:t>
      </w:r>
      <w:r>
        <w:rPr>
          <w:rFonts w:ascii="Times New Roman" w:hAnsi="Times New Roman" w:cs="Times New Roman"/>
          <w:sz w:val="24"/>
          <w:szCs w:val="24"/>
        </w:rPr>
        <w:t xml:space="preserve"> Таблицы 1 «Перечень и объем закупаемой продукции»):</w:t>
      </w:r>
    </w:p>
    <w:tbl>
      <w:tblPr>
        <w:tblW w:w="15525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1119"/>
        <w:gridCol w:w="2386"/>
        <w:gridCol w:w="4915"/>
        <w:gridCol w:w="3172"/>
        <w:gridCol w:w="3933"/>
      </w:tblGrid>
      <w:tr w:rsidR="009F7F1D">
        <w:trPr>
          <w:tblHeader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9F7F1D">
        <w:trPr>
          <w:tblHeader/>
        </w:trPr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Предоставление подтверждающего документа или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иной способ подтверждения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pStyle w:val="af7"/>
              <w:widowControl w:val="0"/>
              <w:spacing w:before="60" w:after="60"/>
              <w:ind w:left="0"/>
            </w:pPr>
            <w:r>
              <w:t>1.1.</w:t>
            </w: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и функциональные характеристики и указаны в Таблице 3.1 Приложение №1 к Техническим требованиям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0"/>
                <w:numId w:val="5"/>
              </w:num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9F7F1D">
        <w:trPr>
          <w:trHeight w:val="847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5"/>
              </w:numPr>
              <w:snapToGrid w:val="0"/>
              <w:spacing w:before="60" w:after="60"/>
              <w:ind w:left="-117" w:firstLine="142"/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поставки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Саратовская область, г. Балаково, Саратовская ГЭС, центральный склад.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5"/>
              </w:numPr>
              <w:snapToGrid w:val="0"/>
              <w:spacing w:before="60" w:after="60"/>
              <w:ind w:left="-117" w:firstLine="142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упаковке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доставке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Вся продукция должна быть упакована, и защищена, надлежащим образом для транспортировки. Способ упаковки продукции должна отвечать требованиям Завода-изготовителя и должен гарантировать, что   продукция не будет повреждена, деформирована или 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еряна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транспортировки.</w:t>
            </w:r>
          </w:p>
          <w:p w:rsidR="009F7F1D" w:rsidRDefault="00666CD0">
            <w:pPr>
              <w:widowControl w:val="0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соли, осадков во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транспортировки, а также открытого хранения. Поставщик несёт ответственность за качество упаковки.</w:t>
            </w:r>
          </w:p>
          <w:p w:rsidR="009F7F1D" w:rsidRDefault="00666CD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9F7F1D" w:rsidRDefault="00666CD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Поставка производится на склад Грузополучате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в г. Балаково в рабочие дни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8-00 до 12-00 и с 13-00 до 16-00 (по местному времени).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5"/>
              </w:numPr>
              <w:snapToGrid w:val="0"/>
              <w:spacing w:before="60" w:after="60"/>
              <w:ind w:left="-117" w:firstLine="142"/>
              <w:jc w:val="center"/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Приемка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0"/>
                <w:numId w:val="5"/>
              </w:numPr>
              <w:snapToGrid w:val="0"/>
              <w:spacing w:before="60" w:after="60"/>
              <w:jc w:val="center"/>
            </w:pP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гарантиям, гарантийному и послегарантийному обслуживанию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5"/>
              </w:numPr>
              <w:snapToGrid w:val="0"/>
              <w:spacing w:before="60" w:after="60"/>
              <w:ind w:left="-117" w:firstLine="142"/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Гарантия, не менее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F1D" w:rsidRDefault="00666CD0">
            <w:pPr>
              <w:widowControl w:val="0"/>
              <w:ind w:left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Гарантийный срок на Товар, должен соответствовать гарантии, заявленной производителем, данного Товара и исчисляется со дня подписания соответствующих Товарных накладных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унифицированной формы ТОРГ-12.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0"/>
                <w:numId w:val="5"/>
              </w:numPr>
              <w:snapToGrid w:val="0"/>
              <w:spacing w:before="60" w:after="60"/>
              <w:jc w:val="center"/>
            </w:pPr>
          </w:p>
        </w:tc>
        <w:tc>
          <w:tcPr>
            <w:tcW w:w="7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5"/>
              </w:numPr>
              <w:snapToGrid w:val="0"/>
              <w:spacing w:before="60" w:after="60"/>
              <w:ind w:left="-117" w:firstLine="142"/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4915" w:type="dxa"/>
            <w:tcBorders>
              <w:top w:val="thickThinLargeGap" w:sz="6" w:space="0" w:color="C0C0C0"/>
              <w:left w:val="single" w:sz="4" w:space="0" w:color="000000"/>
              <w:bottom w:val="thickThinLargeGap" w:sz="6" w:space="0" w:color="C0C0C0"/>
            </w:tcBorders>
            <w:shd w:val="clear" w:color="auto" w:fill="auto"/>
          </w:tcPr>
          <w:p w:rsidR="009F7F1D" w:rsidRPr="003A593D" w:rsidRDefault="00666CD0">
            <w:pPr>
              <w:pStyle w:val="af7"/>
              <w:widowControl w:val="0"/>
              <w:ind w:left="375"/>
              <w:jc w:val="both"/>
              <w:rPr>
                <w:rFonts w:ascii="Times New Roman" w:eastAsiaTheme="minorHAnsi" w:hAnsi="Times New Roman" w:cs="Times New Roman"/>
              </w:rPr>
            </w:pPr>
            <w:r w:rsidRPr="003A593D">
              <w:rPr>
                <w:rFonts w:ascii="Times New Roman" w:eastAsiaTheme="minorHAnsi" w:hAnsi="Times New Roman" w:cs="Times New Roman"/>
              </w:rPr>
              <w:t>На все оборудование предоставить:</w:t>
            </w:r>
          </w:p>
          <w:p w:rsidR="009F7F1D" w:rsidRPr="003A593D" w:rsidRDefault="00666CD0">
            <w:pPr>
              <w:pStyle w:val="af7"/>
              <w:widowControl w:val="0"/>
              <w:numPr>
                <w:ilvl w:val="0"/>
                <w:numId w:val="4"/>
              </w:numPr>
              <w:ind w:left="39" w:firstLine="336"/>
              <w:jc w:val="both"/>
              <w:rPr>
                <w:rFonts w:ascii="Times New Roman" w:eastAsiaTheme="minorHAnsi" w:hAnsi="Times New Roman" w:cs="Times New Roman"/>
              </w:rPr>
            </w:pPr>
            <w:r w:rsidRPr="003A593D">
              <w:rPr>
                <w:rFonts w:ascii="Times New Roman" w:eastAsiaTheme="minorHAnsi" w:hAnsi="Times New Roman" w:cs="Times New Roman"/>
              </w:rPr>
              <w:t xml:space="preserve">Товарную накладную </w:t>
            </w:r>
            <w:r w:rsidRPr="003A593D">
              <w:rPr>
                <w:rFonts w:ascii="Times New Roman" w:eastAsiaTheme="minorHAnsi" w:hAnsi="Times New Roman" w:cs="Times New Roman"/>
              </w:rPr>
              <w:t>унифицированной формы ТОРГ-12 в 2 экз. (или УПД);</w:t>
            </w:r>
          </w:p>
          <w:p w:rsidR="009F7F1D" w:rsidRPr="003A593D" w:rsidRDefault="00666CD0">
            <w:pPr>
              <w:pStyle w:val="af7"/>
              <w:widowControl w:val="0"/>
              <w:numPr>
                <w:ilvl w:val="0"/>
                <w:numId w:val="4"/>
              </w:numPr>
              <w:ind w:left="39" w:firstLine="336"/>
              <w:jc w:val="both"/>
              <w:rPr>
                <w:rFonts w:ascii="Times New Roman" w:eastAsiaTheme="minorHAnsi" w:hAnsi="Times New Roman" w:cs="Times New Roman"/>
              </w:rPr>
            </w:pPr>
            <w:r w:rsidRPr="003A593D">
              <w:rPr>
                <w:rFonts w:ascii="Times New Roman" w:eastAsiaTheme="minorHAnsi" w:hAnsi="Times New Roman" w:cs="Times New Roman"/>
              </w:rPr>
              <w:t>Паспорт оригинал.</w:t>
            </w:r>
          </w:p>
          <w:p w:rsidR="009F7F1D" w:rsidRPr="003A593D" w:rsidRDefault="00666CD0">
            <w:pPr>
              <w:pStyle w:val="af7"/>
              <w:widowControl w:val="0"/>
              <w:numPr>
                <w:ilvl w:val="0"/>
                <w:numId w:val="4"/>
              </w:numPr>
              <w:ind w:left="39" w:firstLine="336"/>
              <w:jc w:val="both"/>
              <w:rPr>
                <w:rFonts w:ascii="Times New Roman" w:eastAsiaTheme="minorHAnsi" w:hAnsi="Times New Roman" w:cs="Times New Roman"/>
              </w:rPr>
            </w:pPr>
            <w:r w:rsidRPr="003A593D">
              <w:rPr>
                <w:rFonts w:ascii="Times New Roman" w:eastAsiaTheme="minorHAnsi" w:hAnsi="Times New Roman" w:cs="Times New Roman"/>
              </w:rPr>
              <w:lastRenderedPageBreak/>
              <w:t>Оригинал счёта.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1D" w:rsidRDefault="009F7F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F1D" w:rsidRDefault="00666CD0">
            <w:pPr>
              <w:widowControl w:val="0"/>
              <w:tabs>
                <w:tab w:val="left" w:pos="1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0"/>
                <w:numId w:val="5"/>
              </w:numPr>
              <w:snapToGrid w:val="0"/>
              <w:spacing w:before="60" w:after="60"/>
              <w:jc w:val="center"/>
            </w:pPr>
          </w:p>
        </w:tc>
        <w:tc>
          <w:tcPr>
            <w:tcW w:w="730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F1D" w:rsidRDefault="00666CD0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F1D" w:rsidRDefault="00666CD0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9F7F1D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5"/>
              </w:numPr>
              <w:snapToGrid w:val="0"/>
              <w:spacing w:before="60" w:after="60"/>
              <w:ind w:left="-117" w:firstLine="142"/>
              <w:jc w:val="center"/>
              <w:rPr>
                <w:b/>
              </w:rPr>
            </w:pPr>
          </w:p>
        </w:tc>
        <w:tc>
          <w:tcPr>
            <w:tcW w:w="23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Дополнительные требования к продукции</w:t>
            </w:r>
          </w:p>
        </w:tc>
        <w:tc>
          <w:tcPr>
            <w:tcW w:w="4915" w:type="dxa"/>
            <w:tcBorders>
              <w:top w:val="thickThinLargeGap" w:sz="6" w:space="0" w:color="C0C0C0"/>
              <w:left w:val="single" w:sz="4" w:space="0" w:color="000000"/>
              <w:bottom w:val="thickThinLargeGap" w:sz="6" w:space="0" w:color="C0C0C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допускается поставка контрафактного 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восстановленного оборудования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F1D">
        <w:trPr>
          <w:trHeight w:val="44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5"/>
              </w:numPr>
              <w:snapToGrid w:val="0"/>
              <w:spacing w:before="60" w:after="60"/>
              <w:ind w:left="-117" w:firstLine="142"/>
              <w:jc w:val="center"/>
            </w:pPr>
          </w:p>
        </w:tc>
        <w:tc>
          <w:tcPr>
            <w:tcW w:w="23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эквивалентов закупаемой продукции</w:t>
            </w:r>
          </w:p>
        </w:tc>
        <w:tc>
          <w:tcPr>
            <w:tcW w:w="4915" w:type="dxa"/>
            <w:tcBorders>
              <w:top w:val="thickThinLargeGap" w:sz="6" w:space="0" w:color="C0C0C0"/>
              <w:left w:val="single" w:sz="4" w:space="0" w:color="000000"/>
              <w:bottom w:val="thickThinLargeGap" w:sz="6" w:space="0" w:color="C0C0C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Применение эквивалентов допускается в соответствии с Приложением №3 «Параметры эквивалентности»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7F1D">
        <w:trPr>
          <w:trHeight w:val="448"/>
        </w:trPr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5"/>
              </w:numPr>
              <w:snapToGrid w:val="0"/>
              <w:spacing w:before="60" w:after="60"/>
              <w:ind w:left="-117" w:firstLine="142"/>
              <w:jc w:val="center"/>
            </w:pPr>
          </w:p>
        </w:tc>
        <w:tc>
          <w:tcPr>
            <w:tcW w:w="2386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национального режима</w:t>
            </w:r>
          </w:p>
        </w:tc>
        <w:tc>
          <w:tcPr>
            <w:tcW w:w="4915" w:type="dxa"/>
            <w:tcBorders>
              <w:left w:val="single" w:sz="4" w:space="0" w:color="000000"/>
              <w:bottom w:val="thickThinLargeGap" w:sz="6" w:space="0" w:color="C0C0C0"/>
            </w:tcBorders>
            <w:shd w:val="clear" w:color="auto" w:fill="auto"/>
            <w:vAlign w:val="center"/>
          </w:tcPr>
          <w:p w:rsidR="009F7F1D" w:rsidRDefault="00666CD0">
            <w:pPr>
              <w:pStyle w:val="a4"/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Установлено преимущество российской продукции</w:t>
            </w:r>
          </w:p>
          <w:p w:rsidR="009F7F1D" w:rsidRDefault="00666CD0">
            <w:pPr>
              <w:pStyle w:val="a4"/>
              <w:widowControl w:val="0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>Указать страну происхождения товара в коммерческом предложении , подготовленном по форме, установленной в ДоЗ</w:t>
            </w: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Согласие с требованием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7F1D" w:rsidRDefault="009F7F1D">
      <w:pPr>
        <w:sectPr w:rsidR="009F7F1D">
          <w:footerReference w:type="default" r:id="rId9"/>
          <w:footerReference w:type="first" r:id="rId10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 w:charSpace="16384"/>
        </w:sectPr>
      </w:pPr>
    </w:p>
    <w:p w:rsidR="009F7F1D" w:rsidRDefault="00666CD0">
      <w:pPr>
        <w:pStyle w:val="1"/>
        <w:spacing w:before="120" w:after="120"/>
        <w:ind w:left="35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2.4 В составе заявки необходимо </w:t>
      </w:r>
      <w:r>
        <w:rPr>
          <w:sz w:val="28"/>
          <w:szCs w:val="28"/>
          <w:lang w:val="ru-RU"/>
        </w:rPr>
        <w:t>предоставить:</w:t>
      </w:r>
    </w:p>
    <w:p w:rsidR="009F7F1D" w:rsidRDefault="00666CD0">
      <w:pPr>
        <w:spacing w:before="120" w:after="120"/>
        <w:ind w:left="357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-Техническое предложение участника</w:t>
      </w:r>
    </w:p>
    <w:p w:rsidR="009F7F1D" w:rsidRDefault="00666CD0">
      <w:pPr>
        <w:pStyle w:val="1"/>
        <w:numPr>
          <w:ilvl w:val="0"/>
          <w:numId w:val="1"/>
        </w:numPr>
        <w:spacing w:before="120" w:after="120"/>
        <w:ind w:left="357" w:hanging="35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bookmarkStart w:id="16" w:name="_Toc157604369"/>
      <w:r>
        <w:rPr>
          <w:sz w:val="28"/>
          <w:szCs w:val="28"/>
          <w:lang w:val="ru-RU"/>
        </w:rPr>
        <w:t>Требования к документации по ценообразованию</w:t>
      </w:r>
      <w:bookmarkEnd w:id="16"/>
    </w:p>
    <w:p w:rsidR="009F7F1D" w:rsidRDefault="00666CD0">
      <w:pPr>
        <w:pStyle w:val="afb"/>
        <w:numPr>
          <w:ilvl w:val="0"/>
          <w:numId w:val="7"/>
        </w:numPr>
        <w:spacing w:line="240" w:lineRule="auto"/>
        <w:ind w:left="709" w:hanging="425"/>
        <w:jc w:val="both"/>
      </w:pPr>
      <w:r>
        <w:t xml:space="preserve">Участник должен в составе заявки представить КП по установленной форме, а также заполненную Спецификацию на поставляемый Товар отдельно, по форме, приведённой в </w:t>
      </w:r>
      <w:r>
        <w:t>Приложении №2 к настоящим ТТ.</w:t>
      </w:r>
    </w:p>
    <w:p w:rsidR="009F7F1D" w:rsidRDefault="00666CD0">
      <w:pPr>
        <w:pStyle w:val="afb"/>
        <w:numPr>
          <w:ilvl w:val="0"/>
          <w:numId w:val="7"/>
        </w:numPr>
        <w:spacing w:line="240" w:lineRule="auto"/>
        <w:ind w:left="709" w:hanging="425"/>
        <w:jc w:val="both"/>
      </w:pPr>
      <w:r>
        <w:t>Цена предлагаемого Товара должна быть указана с учетом затрат на транспортировку, разгрузку, уплату налогов, таможенных пошлин, сборов и других обязательных платежей.</w:t>
      </w:r>
    </w:p>
    <w:p w:rsidR="009F7F1D" w:rsidRDefault="00666CD0">
      <w:pPr>
        <w:pStyle w:val="afb"/>
        <w:numPr>
          <w:ilvl w:val="0"/>
          <w:numId w:val="7"/>
        </w:numPr>
        <w:spacing w:line="240" w:lineRule="auto"/>
        <w:ind w:left="709" w:hanging="425"/>
        <w:jc w:val="both"/>
      </w:pPr>
      <w:r>
        <w:t>Стоимость Товара является фиксированной и не подлежит измен</w:t>
      </w:r>
      <w:r>
        <w:t>ению.</w:t>
      </w:r>
    </w:p>
    <w:p w:rsidR="009F7F1D" w:rsidRDefault="009F7F1D">
      <w:pPr>
        <w:pStyle w:val="afb"/>
        <w:spacing w:line="240" w:lineRule="auto"/>
        <w:ind w:left="720"/>
        <w:jc w:val="both"/>
      </w:pPr>
    </w:p>
    <w:p w:rsidR="009F7F1D" w:rsidRDefault="00666CD0">
      <w:pPr>
        <w:pStyle w:val="1"/>
        <w:keepLines/>
        <w:numPr>
          <w:ilvl w:val="0"/>
          <w:numId w:val="1"/>
        </w:numPr>
        <w:spacing w:before="120" w:after="120"/>
        <w:ind w:left="357" w:hanging="357"/>
        <w:jc w:val="left"/>
        <w:rPr>
          <w:sz w:val="28"/>
          <w:szCs w:val="28"/>
          <w:lang w:val="ru-RU"/>
        </w:rPr>
      </w:pPr>
      <w:bookmarkStart w:id="17" w:name="__RefHeading___Toc128567060"/>
      <w:bookmarkStart w:id="18" w:name="_Toc157604370"/>
      <w:bookmarkEnd w:id="17"/>
      <w:r>
        <w:rPr>
          <w:sz w:val="28"/>
          <w:szCs w:val="28"/>
          <w:lang w:val="ru-RU"/>
        </w:rPr>
        <w:t>Приложения</w:t>
      </w:r>
      <w:bookmarkEnd w:id="18"/>
    </w:p>
    <w:p w:rsidR="009F7F1D" w:rsidRDefault="00666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№1: Таблица 3.1. Технические и функциональные характеристики</w:t>
      </w:r>
    </w:p>
    <w:p w:rsidR="009F7F1D" w:rsidRDefault="00666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№2: Положение «О входном контроле материально-технических ресурсов Филиала ПАО «РусГидро» - «Саратовская ГЭС», утвержденное приказом Филиала ПАО «РусГидро»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«Саратовская ГЭС» № СарГЭС/94-639 от 06.12.2018 г.</w:t>
      </w:r>
    </w:p>
    <w:p w:rsidR="009F7F1D" w:rsidRDefault="00666CD0">
      <w:pPr>
        <w:rPr>
          <w:rFonts w:ascii="Times New Roman" w:eastAsia="Calibri" w:hAnsi="Times New Roman" w:cs="Times New Roman"/>
          <w:sz w:val="24"/>
          <w:szCs w:val="24"/>
        </w:rPr>
        <w:sectPr w:rsidR="009F7F1D">
          <w:footerReference w:type="default" r:id="rId11"/>
          <w:footerReference w:type="first" r:id="rId12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16384"/>
        </w:sectPr>
      </w:pPr>
      <w:r>
        <w:rPr>
          <w:rFonts w:ascii="Times New Roman" w:eastAsia="Calibri" w:hAnsi="Times New Roman" w:cs="Times New Roman"/>
          <w:sz w:val="24"/>
          <w:szCs w:val="24"/>
        </w:rPr>
        <w:t>Приложение №3: Параметры эквивал</w:t>
      </w:r>
      <w:r w:rsidR="003A593D">
        <w:rPr>
          <w:rFonts w:ascii="Times New Roman" w:eastAsia="Calibri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>нтности</w:t>
      </w:r>
      <w:r>
        <w:br w:type="page"/>
      </w:r>
    </w:p>
    <w:p w:rsidR="009F7F1D" w:rsidRDefault="00666CD0">
      <w:pPr>
        <w:pStyle w:val="1"/>
        <w:spacing w:before="120" w:after="120"/>
        <w:ind w:left="720"/>
        <w:jc w:val="right"/>
        <w:rPr>
          <w:sz w:val="21"/>
          <w:szCs w:val="21"/>
        </w:rPr>
      </w:pPr>
      <w:bookmarkStart w:id="19" w:name="_Toc157604371"/>
      <w:r>
        <w:rPr>
          <w:sz w:val="21"/>
          <w:szCs w:val="21"/>
        </w:rPr>
        <w:lastRenderedPageBreak/>
        <w:t>Приложение №1 к Техническим требованиям</w:t>
      </w:r>
      <w:bookmarkEnd w:id="19"/>
    </w:p>
    <w:p w:rsidR="009F7F1D" w:rsidRDefault="00666CD0">
      <w:pPr>
        <w:spacing w:before="120" w:after="120"/>
      </w:pPr>
      <w:r>
        <w:rPr>
          <w:rFonts w:ascii="Times New Roman" w:eastAsia="Calibri" w:hAnsi="Times New Roman" w:cs="Times New Roman"/>
          <w:b/>
          <w:bCs/>
          <w:lang w:val="x-none"/>
        </w:rPr>
        <w:t>Таблица </w:t>
      </w:r>
      <w:r>
        <w:rPr>
          <w:rFonts w:ascii="Times New Roman" w:eastAsia="Calibri" w:hAnsi="Times New Roman" w:cs="Times New Roman"/>
          <w:b/>
          <w:bCs/>
        </w:rPr>
        <w:t>3.1</w:t>
      </w:r>
      <w:r>
        <w:rPr>
          <w:rFonts w:ascii="Times New Roman" w:eastAsia="Calibri" w:hAnsi="Times New Roman" w:cs="Times New Roman"/>
          <w:b/>
          <w:bCs/>
          <w:lang w:val="x-none"/>
        </w:rPr>
        <w:t xml:space="preserve"> Технические и функциональные характеристики</w:t>
      </w:r>
    </w:p>
    <w:p w:rsidR="009F7F1D" w:rsidRDefault="00666CD0">
      <w:pPr>
        <w:spacing w:before="120" w:after="120"/>
        <w:ind w:right="397"/>
        <w:jc w:val="both"/>
      </w:pPr>
      <w:r>
        <w:rPr>
          <w:rFonts w:ascii="Times New Roman" w:hAnsi="Times New Roman" w:cs="Times New Roman"/>
          <w:b/>
          <w:bCs/>
        </w:rPr>
        <w:t xml:space="preserve">Наименование продукции: </w:t>
      </w:r>
      <w:r>
        <w:rPr>
          <w:rFonts w:ascii="Times New Roman" w:hAnsi="Times New Roman" w:cs="Times New Roman"/>
          <w:b/>
          <w:bCs/>
          <w:iCs/>
        </w:rPr>
        <w:t xml:space="preserve">(позиция № </w:t>
      </w:r>
      <w:r>
        <w:rPr>
          <w:rFonts w:ascii="Times New Roman" w:hAnsi="Times New Roman" w:cs="Times New Roman"/>
          <w:b/>
          <w:bCs/>
          <w:iCs/>
        </w:rPr>
        <w:t>1Таблицы 1 «Перечень и объем закупаемой продукции»)</w:t>
      </w:r>
    </w:p>
    <w:tbl>
      <w:tblPr>
        <w:tblW w:w="15610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600"/>
        <w:gridCol w:w="1380"/>
        <w:gridCol w:w="1489"/>
        <w:gridCol w:w="5997"/>
        <w:gridCol w:w="2490"/>
        <w:gridCol w:w="3654"/>
      </w:tblGrid>
      <w:tr w:rsidR="009F7F1D">
        <w:trPr>
          <w:trHeight w:val="20"/>
          <w:tblHeader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позиции Таблицы 1 «Перечень и объем закупаемой продукции»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заказчика *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Предложения участника**</w:t>
            </w:r>
          </w:p>
        </w:tc>
      </w:tr>
      <w:tr w:rsidR="009F7F1D">
        <w:trPr>
          <w:trHeight w:val="20"/>
          <w:tblHeader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9F7F1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продукции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и функциональные характеристики</w:t>
            </w:r>
          </w:p>
        </w:tc>
      </w:tr>
      <w:tr w:rsidR="009F7F1D">
        <w:trPr>
          <w:trHeight w:val="342"/>
          <w:tblHeader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F7F1D">
        <w:trPr>
          <w:trHeight w:val="20"/>
        </w:trPr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Позиция 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Регистратор электронный многоканальный</w:t>
            </w:r>
          </w:p>
          <w:p w:rsidR="009F7F1D" w:rsidRDefault="00666CD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Ф1772—1—1—8АВ—8АВ—0—16Р—0—2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диагональ экрана: 10,4" горизонтальный;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слот1: Ethernet, RS485,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 дискретных входов;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слот2: 8 аналоговых </w:t>
            </w:r>
            <w:r>
              <w:rPr>
                <w:rFonts w:ascii="Times New Roman" w:hAnsi="Times New Roman"/>
                <w:sz w:val="20"/>
              </w:rPr>
              <w:t>входов; слот 3: 8 аналоговых входов;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слот 4: не задействован;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слот 5: 16 переключающих реле;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слот 6: не задействован;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слот 7: =24 в + 4хИПВП;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класс точности: В - прибор нормальной точности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(межповерочный интервал 6 лет);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поверка: есть;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климатическое исполн</w:t>
            </w:r>
            <w:r>
              <w:rPr>
                <w:rFonts w:ascii="Times New Roman" w:hAnsi="Times New Roman"/>
                <w:sz w:val="20"/>
              </w:rPr>
              <w:t>ение: УХЛ 4 (атм.II);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упаковка: влагозащитная;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Категория сейсмостойкости: I;</w:t>
            </w:r>
          </w:p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ТУ: ВРМЦ.421453.001;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наименования продукции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808080"/>
                <w:sz w:val="20"/>
                <w:szCs w:val="20"/>
                <w:lang w:eastAsia="ru-RU"/>
              </w:rPr>
              <w:t>Способ подтверждения: указание технических характеристик</w:t>
            </w:r>
          </w:p>
        </w:tc>
      </w:tr>
    </w:tbl>
    <w:p w:rsidR="009F7F1D" w:rsidRDefault="009F7F1D">
      <w:pPr>
        <w:spacing w:after="0"/>
        <w:rPr>
          <w:rFonts w:ascii="Times New Roman" w:hAnsi="Times New Roman" w:cs="Times New Roman"/>
        </w:rPr>
      </w:pPr>
    </w:p>
    <w:p w:rsidR="009F7F1D" w:rsidRDefault="009F7F1D">
      <w:pPr>
        <w:spacing w:after="0"/>
        <w:rPr>
          <w:rFonts w:ascii="Times New Roman" w:hAnsi="Times New Roman" w:cs="Times New Roman"/>
        </w:rPr>
      </w:pPr>
    </w:p>
    <w:p w:rsidR="009F7F1D" w:rsidRDefault="009F7F1D">
      <w:pPr>
        <w:spacing w:after="0"/>
        <w:rPr>
          <w:rFonts w:ascii="Times New Roman" w:hAnsi="Times New Roman" w:cs="Times New Roman"/>
        </w:rPr>
      </w:pPr>
    </w:p>
    <w:p w:rsidR="009F7F1D" w:rsidRDefault="009F7F1D">
      <w:pPr>
        <w:spacing w:after="0"/>
        <w:rPr>
          <w:rFonts w:ascii="Times New Roman" w:hAnsi="Times New Roman" w:cs="Times New Roman"/>
        </w:rPr>
      </w:pPr>
    </w:p>
    <w:p w:rsidR="009F7F1D" w:rsidRDefault="00666CD0">
      <w:pPr>
        <w:spacing w:after="0"/>
        <w:rPr>
          <w:rFonts w:ascii="Times New Roman" w:hAnsi="Times New Roman" w:cs="Times New Roman"/>
        </w:rPr>
      </w:pPr>
      <w:r>
        <w:br w:type="page"/>
      </w:r>
    </w:p>
    <w:p w:rsidR="009F7F1D" w:rsidRDefault="00666CD0">
      <w:pPr>
        <w:pStyle w:val="1"/>
        <w:spacing w:before="120" w:after="120"/>
        <w:ind w:left="720"/>
        <w:jc w:val="right"/>
        <w:rPr>
          <w:sz w:val="21"/>
          <w:szCs w:val="21"/>
        </w:rPr>
      </w:pPr>
      <w:bookmarkStart w:id="20" w:name="_Toc157604371_Копия_1"/>
      <w:r>
        <w:rPr>
          <w:sz w:val="21"/>
          <w:szCs w:val="21"/>
        </w:rPr>
        <w:lastRenderedPageBreak/>
        <w:t>Приложение №3 к Техническим требованиям</w:t>
      </w:r>
      <w:bookmarkEnd w:id="20"/>
    </w:p>
    <w:p w:rsidR="009F7F1D" w:rsidRDefault="00666CD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Параметры эквивалентности</w:t>
      </w:r>
    </w:p>
    <w:p w:rsidR="009F7F1D" w:rsidRDefault="009F7F1D">
      <w:pPr>
        <w:rPr>
          <w:rFonts w:ascii="Times New Roman" w:hAnsi="Times New Roman"/>
        </w:rPr>
      </w:pPr>
    </w:p>
    <w:tbl>
      <w:tblPr>
        <w:tblW w:w="5000" w:type="pct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65"/>
        <w:gridCol w:w="3543"/>
        <w:gridCol w:w="10568"/>
      </w:tblGrid>
      <w:tr w:rsidR="009F7F1D">
        <w:tc>
          <w:tcPr>
            <w:tcW w:w="1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Регистратор электронный многоканальный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Диагональ экрана: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10,4" горизонтальный;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Ethernet, RS485 и  не менее 12 дискретных входов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лот2: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аналоговых входов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Слот 3: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аналоговых входов;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Слот 4: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аналоговых входов;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Слот 5: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переключающих реле;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Слот 6: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переключающих реле;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Слот 7: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ПВП;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точности: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2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- прибор нормальной точности</w:t>
            </w:r>
          </w:p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(межповерочный интервал не менее 6 лет);</w:t>
            </w:r>
          </w:p>
        </w:tc>
      </w:tr>
      <w:tr w:rsidR="009F7F1D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9F7F1D">
            <w:pPr>
              <w:pStyle w:val="af7"/>
              <w:widowControl w:val="0"/>
              <w:numPr>
                <w:ilvl w:val="1"/>
                <w:numId w:val="9"/>
              </w:numPr>
              <w:snapToGrid w:val="0"/>
              <w:spacing w:before="60" w:after="6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lang w:val="en-US"/>
              </w:rPr>
              <w:t>Функционал:</w:t>
            </w:r>
          </w:p>
        </w:tc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измерения, регистрация и визуальное представление параметров технологических процессов преобразованных в сигналы постоянного тока, напряжения и активного сопротивления, сигналы термопар и термометров сопротивления; сигнализации и позиционного регулирования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, а также формирования выходных аналоговых</w:t>
            </w:r>
          </w:p>
          <w:p w:rsidR="009F7F1D" w:rsidRDefault="00666CD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сигналов и обмену данными по интерфейсам</w:t>
            </w:r>
          </w:p>
        </w:tc>
      </w:tr>
    </w:tbl>
    <w:p w:rsidR="009F7F1D" w:rsidRDefault="009F7F1D"/>
    <w:sectPr w:rsidR="009F7F1D">
      <w:footerReference w:type="default" r:id="rId13"/>
      <w:footerReference w:type="first" r:id="rId14"/>
      <w:pgSz w:w="16838" w:h="11906" w:orient="landscape"/>
      <w:pgMar w:top="1701" w:right="1134" w:bottom="851" w:left="1134" w:header="0" w:footer="709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6CD0">
      <w:pPr>
        <w:spacing w:after="0" w:line="240" w:lineRule="auto"/>
      </w:pPr>
      <w:r>
        <w:separator/>
      </w:r>
    </w:p>
  </w:endnote>
  <w:endnote w:type="continuationSeparator" w:id="0">
    <w:p w:rsidR="00000000" w:rsidRDefault="0066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D" w:rsidRDefault="00666CD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D" w:rsidRDefault="00666CD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D" w:rsidRDefault="009F7F1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D" w:rsidRDefault="00666CD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D" w:rsidRDefault="009F7F1D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D" w:rsidRDefault="00666CD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D" w:rsidRDefault="009F7F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6CD0">
      <w:pPr>
        <w:spacing w:after="0" w:line="240" w:lineRule="auto"/>
      </w:pPr>
      <w:r>
        <w:separator/>
      </w:r>
    </w:p>
  </w:footnote>
  <w:footnote w:type="continuationSeparator" w:id="0">
    <w:p w:rsidR="00000000" w:rsidRDefault="00666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12C"/>
    <w:multiLevelType w:val="multilevel"/>
    <w:tmpl w:val="1C0C4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0970B4"/>
    <w:multiLevelType w:val="multilevel"/>
    <w:tmpl w:val="F9828E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95156F"/>
    <w:multiLevelType w:val="multilevel"/>
    <w:tmpl w:val="D1D8D0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3" w15:restartNumberingAfterBreak="0">
    <w:nsid w:val="255325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A7B79B2"/>
    <w:multiLevelType w:val="multilevel"/>
    <w:tmpl w:val="D846B5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0D24B56"/>
    <w:multiLevelType w:val="multilevel"/>
    <w:tmpl w:val="C18E08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5DE69EA"/>
    <w:multiLevelType w:val="multilevel"/>
    <w:tmpl w:val="FC3C31BE"/>
    <w:lvl w:ilvl="0">
      <w:start w:val="1"/>
      <w:numFmt w:val="decimal"/>
      <w:lvlText w:val="%1."/>
      <w:lvlJc w:val="left"/>
      <w:pPr>
        <w:tabs>
          <w:tab w:val="num" w:pos="0"/>
        </w:tabs>
        <w:ind w:left="41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2" w:hanging="180"/>
      </w:pPr>
    </w:lvl>
  </w:abstractNum>
  <w:abstractNum w:abstractNumId="7" w15:restartNumberingAfterBreak="0">
    <w:nsid w:val="58C11F25"/>
    <w:multiLevelType w:val="multilevel"/>
    <w:tmpl w:val="1BB668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96A47CD"/>
    <w:multiLevelType w:val="multilevel"/>
    <w:tmpl w:val="B3CADCC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ADE62CA"/>
    <w:multiLevelType w:val="multilevel"/>
    <w:tmpl w:val="520AAA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F1D"/>
    <w:rsid w:val="003A593D"/>
    <w:rsid w:val="00666CD0"/>
    <w:rsid w:val="009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A8AE"/>
  <w15:docId w15:val="{AE7587A9-96A5-45A8-A872-6E22906A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724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724A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3">
    <w:name w:val="Основной текст Знак"/>
    <w:basedOn w:val="a0"/>
    <w:link w:val="a4"/>
    <w:uiPriority w:val="99"/>
    <w:qFormat/>
    <w:rsid w:val="00D724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unhideWhenUsed/>
    <w:rsid w:val="00D724A3"/>
    <w:rPr>
      <w:color w:val="0000FF"/>
      <w:u w:val="single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D724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9"/>
    <w:qFormat/>
    <w:rsid w:val="00D724A3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C2A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66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">
    <w:name w:val="Ссылка указателя"/>
    <w:qFormat/>
  </w:style>
  <w:style w:type="character" w:customStyle="1" w:styleId="ad">
    <w:name w:val="комментарий"/>
    <w:qFormat/>
    <w:rPr>
      <w:b/>
      <w:i/>
      <w:shd w:val="clear" w:color="auto" w:fill="FFFF99"/>
    </w:rPr>
  </w:style>
  <w:style w:type="character" w:styleId="ae">
    <w:name w:val="annotation reference"/>
    <w:basedOn w:val="a0"/>
    <w:uiPriority w:val="99"/>
    <w:semiHidden/>
    <w:unhideWhenUsed/>
    <w:qFormat/>
    <w:rsid w:val="00B672E1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B672E1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B672E1"/>
    <w:rPr>
      <w:b/>
      <w:bCs/>
      <w:sz w:val="20"/>
      <w:szCs w:val="20"/>
    </w:rPr>
  </w:style>
  <w:style w:type="paragraph" w:styleId="af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link w:val="a3"/>
    <w:uiPriority w:val="99"/>
    <w:unhideWhenUsed/>
    <w:rsid w:val="00D724A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List"/>
    <w:basedOn w:val="a4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6">
    <w:name w:val="index heading"/>
    <w:basedOn w:val="af3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3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3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3"/>
    <w:qFormat/>
  </w:style>
  <w:style w:type="paragraph" w:styleId="af7">
    <w:name w:val="List Paragraph"/>
    <w:basedOn w:val="a"/>
    <w:qFormat/>
    <w:pPr>
      <w:spacing w:after="0"/>
      <w:ind w:left="720"/>
      <w:contextualSpacing/>
    </w:pPr>
    <w:rPr>
      <w:rFonts w:eastAsia="Calibri"/>
      <w:sz w:val="24"/>
      <w:szCs w:val="24"/>
    </w:rPr>
  </w:style>
  <w:style w:type="paragraph" w:customStyle="1" w:styleId="af8">
    <w:name w:val="Колонтитул"/>
    <w:basedOn w:val="a"/>
    <w:qFormat/>
  </w:style>
  <w:style w:type="paragraph" w:styleId="a7">
    <w:name w:val="footer"/>
    <w:basedOn w:val="a"/>
    <w:link w:val="a6"/>
    <w:uiPriority w:val="99"/>
    <w:unhideWhenUsed/>
    <w:rsid w:val="00D724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8"/>
    <w:rsid w:val="00D724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f9">
    <w:name w:val="Normal (Web)"/>
    <w:basedOn w:val="a"/>
    <w:uiPriority w:val="99"/>
    <w:unhideWhenUsed/>
    <w:qFormat/>
    <w:rsid w:val="004D7F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C2A09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7C2A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Таблица шапка"/>
    <w:basedOn w:val="a"/>
    <w:qFormat/>
    <w:rsid w:val="0007708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6"/>
      <w:lang w:eastAsia="zh-CN"/>
    </w:rPr>
  </w:style>
  <w:style w:type="paragraph" w:styleId="afb">
    <w:name w:val="No Spacing"/>
    <w:basedOn w:val="a"/>
    <w:qFormat/>
    <w:rsid w:val="00A66EC5"/>
    <w:pPr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c">
    <w:name w:val="TOC Heading"/>
    <w:basedOn w:val="1"/>
    <w:next w:val="a"/>
    <w:uiPriority w:val="39"/>
    <w:unhideWhenUsed/>
    <w:qFormat/>
    <w:rsid w:val="00B83D1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B83D1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83D1C"/>
    <w:pPr>
      <w:spacing w:after="100"/>
      <w:ind w:left="220"/>
    </w:pPr>
  </w:style>
  <w:style w:type="paragraph" w:customStyle="1" w:styleId="afd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B672E1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B672E1"/>
    <w:rPr>
      <w:b/>
      <w:bCs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6E53-B830-4A52-9AD9-FF0B8517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Дивейкин Владисла Евгеньевич</dc:creator>
  <dc:description/>
  <cp:lastModifiedBy>Лукьянов Эдуард Юрьевич</cp:lastModifiedBy>
  <cp:revision>14</cp:revision>
  <dcterms:created xsi:type="dcterms:W3CDTF">2025-02-24T05:30:00Z</dcterms:created>
  <dcterms:modified xsi:type="dcterms:W3CDTF">2026-05-15T09:34:00Z</dcterms:modified>
  <dc:language>ru-RU</dc:language>
</cp:coreProperties>
</file>