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PlainText1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/>
          <w:b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left" w:pos="426" w:leader="none"/>
        </w:tabs>
        <w:spacing w:before="120" w:after="0"/>
        <w:jc w:val="center"/>
        <w:rPr>
          <w:rStyle w:val="Style15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>
        <w:rPr>
          <w:rFonts w:eastAsia="Calibri"/>
          <w:b/>
          <w:bCs/>
          <w:i/>
          <w:iCs/>
          <w:sz w:val="26"/>
          <w:szCs w:val="26"/>
        </w:rPr>
        <w:t>ОКПД2 33.14.19.000 Выполнение работ по ремонту оборудования АИИС КУЭ (РиМ) СП ЗЭС, СП ВЭС, СП ЦЭС в рамках выполнения годовой программы ремонтов основных производственных фондов 2026 года для нужд филиала  "Амурские электрические сети"</w:t>
      </w:r>
      <w:r>
        <w:rPr>
          <w:b/>
          <w:i/>
          <w:sz w:val="26"/>
          <w:szCs w:val="26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111701-РЕМ ПРОД-2026-ДРСК-АЭС</w:t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7"/>
            <w:tabs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instrText> TOC \z \o "1-4" \u \h</w:instrText>
          </w:r>
          <w:r>
            <w:fldChar w:fldCharType="separate"/>
          </w:r>
          <w:hyperlink w:anchor="_Toc163479725">
            <w:r>
              <w:rPr>
                <w:webHidden/>
                <w:rStyle w:val="Style21"/>
                <w:vanish w:val="false"/>
              </w:rPr>
              <w:t>1.</w:t>
            </w:r>
            <w:r>
              <w:rPr>
                <w:rStyle w:val="Style21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21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3479726">
            <w:r>
              <w:rPr>
                <w:webHidden/>
                <w:rStyle w:val="Style21"/>
                <w:iCs/>
                <w:vanish w:val="false"/>
              </w:rPr>
              <w:t>1.1.</w:t>
            </w:r>
            <w:r>
              <w:rPr>
                <w:rStyle w:val="Style21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1"/>
              </w:rPr>
              <w:t>Наименование закупаемых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634797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_Toc163479727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1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63479728">
            <w:r>
              <w:rPr>
                <w:webHidden/>
                <w:rStyle w:val="Style21"/>
                <w:vanish w:val="false"/>
              </w:rPr>
              <w:t>2.</w:t>
            </w:r>
            <w:r>
              <w:rPr>
                <w:rStyle w:val="Style21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21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3479729">
            <w:r>
              <w:rPr>
                <w:webHidden/>
                <w:rStyle w:val="Style21"/>
                <w:iCs/>
                <w:vanish w:val="false"/>
              </w:rPr>
              <w:t>2.1.</w:t>
            </w:r>
            <w:r>
              <w:rPr>
                <w:rStyle w:val="Style21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1"/>
              </w:rPr>
              <w:t>Требования к объемам и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5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3479730">
            <w:r>
              <w:rPr>
                <w:webHidden/>
                <w:rStyle w:val="Style21"/>
                <w:vanish w:val="false"/>
              </w:rPr>
              <w:t>2.1.1.</w:t>
            </w:r>
            <w:r>
              <w:rPr>
                <w:rStyle w:val="Style21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1"/>
              </w:rPr>
              <w:t>Требования к видам и объемам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6347973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_Toc163479731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1"/>
                <w:vanish w:val="false"/>
              </w:rPr>
              <w:t>Таблица 2. Перечень и объем выполняемых работ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35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3479732">
            <w:r>
              <w:rPr>
                <w:webHidden/>
                <w:rStyle w:val="Style21"/>
                <w:vanish w:val="false"/>
              </w:rPr>
              <w:t>2.1.2.</w:t>
            </w:r>
            <w:r>
              <w:rPr>
                <w:rStyle w:val="Style21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1"/>
              </w:rPr>
              <w:t>Требования к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6347973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_Toc163479733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1"/>
                <w:vanish w:val="false"/>
              </w:rPr>
              <w:t>Таблица 3. Требования по срокам выполнения работ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42"/>
            <w:tabs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63479734">
            <w:r>
              <w:rPr>
                <w:webHidden/>
                <w:rStyle w:val="Style21"/>
                <w:iCs/>
                <w:vanish w:val="false"/>
              </w:rPr>
              <w:t>2.2.</w:t>
            </w:r>
            <w:r>
              <w:rPr>
                <w:rStyle w:val="Style21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21"/>
              </w:rPr>
              <w:t>Требования к качеству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634797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1"/>
                <w:vanish w:val="false"/>
              </w:rPr>
              <w:t>Таблица 4. Требования к качеству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63479736">
            <w:r>
              <w:rPr>
                <w:webHidden/>
                <w:rStyle w:val="Style21"/>
                <w:vanish w:val="false"/>
              </w:rPr>
              <w:t>3.</w:t>
            </w:r>
            <w:r>
              <w:rPr>
                <w:rStyle w:val="Style21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21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 w:val="false"/>
              <w:bCs w:val="false"/>
              <w:sz w:val="22"/>
              <w:szCs w:val="22"/>
            </w:rPr>
          </w:pPr>
          <w:hyperlink w:anchor="_Toc163479737">
            <w:r>
              <w:rPr>
                <w:webHidden/>
                <w:rStyle w:val="Style21"/>
                <w:vanish w:val="false"/>
              </w:rPr>
              <w:t>4.</w:t>
            </w:r>
            <w:r>
              <w:rPr>
                <w:rStyle w:val="Style21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21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17"/>
            <w:tabs>
              <w:tab w:val="left" w:pos="567" w:leader="none"/>
              <w:tab w:val="right" w:pos="9911" w:leader="dot"/>
            </w:tabs>
            <w:rPr/>
          </w:pPr>
          <w:hyperlink w:anchor="_Toc163479738">
            <w:r>
              <w:rPr>
                <w:webHidden/>
                <w:rStyle w:val="Style21"/>
                <w:vanish w:val="false"/>
              </w:rPr>
              <w:t>5.</w:t>
            </w:r>
            <w:r>
              <w:rPr>
                <w:rStyle w:val="Style21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21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_Toc163479738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1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fldChar w:fldCharType="end"/>
          </w:r>
        </w:p>
      </w:sdtContent>
    </w:sdt>
    <w:p>
      <w:pPr>
        <w:pStyle w:val="2"/>
        <w:numPr>
          <w:ilvl w:val="0"/>
          <w:numId w:val="0"/>
        </w:numPr>
        <w:ind w:left="0" w:hanging="0"/>
        <w:rPr>
          <w:b w:val="false"/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1"/>
        <w:keepLines/>
        <w:numPr>
          <w:ilvl w:val="0"/>
          <w:numId w:val="2"/>
        </w:numPr>
        <w:ind w:left="357" w:hanging="357"/>
        <w:jc w:val="center"/>
        <w:rPr>
          <w:caps/>
          <w:lang w:val="ru-RU"/>
        </w:rPr>
      </w:pPr>
      <w:bookmarkStart w:id="0" w:name="_Toc46743506"/>
      <w:bookmarkStart w:id="1" w:name="_Toc51339692"/>
      <w:bookmarkStart w:id="2" w:name="_Toc125567276"/>
      <w:bookmarkStart w:id="3" w:name="_Toc163479725"/>
      <w:bookmarkEnd w:id="1"/>
      <w:bookmarkEnd w:id="2"/>
      <w:bookmarkEnd w:id="3"/>
      <w:r>
        <w:rPr>
          <w:lang w:val="ru-RU"/>
        </w:rPr>
        <w:t>Общие сведения</w:t>
      </w:r>
    </w:p>
    <w:p>
      <w:pPr>
        <w:pStyle w:val="4"/>
        <w:numPr>
          <w:ilvl w:val="1"/>
          <w:numId w:val="7"/>
        </w:numPr>
        <w:rPr/>
      </w:pPr>
      <w:bookmarkStart w:id="4" w:name="_Toc163479726"/>
      <w:r>
        <w:rPr/>
        <w:t>Наименование закупаем</w:t>
      </w:r>
      <w:r>
        <w:rPr>
          <w:lang w:val="ru-RU"/>
        </w:rPr>
        <w:t>ых</w:t>
      </w:r>
      <w:r>
        <w:rPr/>
        <w:t xml:space="preserve"> </w:t>
      </w:r>
      <w:bookmarkEnd w:id="0"/>
      <w:bookmarkEnd w:id="4"/>
      <w:r>
        <w:rPr>
          <w:lang w:val="ru-RU"/>
        </w:rPr>
        <w:t>работ</w:t>
      </w:r>
    </w:p>
    <w:p>
      <w:pPr>
        <w:pStyle w:val="Normal"/>
        <w:widowControl w:val="false"/>
        <w:tabs>
          <w:tab w:val="left" w:pos="426" w:leader="none"/>
        </w:tabs>
        <w:spacing w:before="120" w:after="0"/>
        <w:rPr>
          <w:rStyle w:val="Style15"/>
          <w:b w:val="false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«ОКПД2 33.14.19.000 Выполнение работ по ремонту оборудования АИИС КУЭ (РиМ) СП ЗЭС, СП ВЭС, СП ЦЭС в рамках выполнения годовой программы ремонтов основных производственных фондов 2026 года для нужд филиала  "Амурские электрические сети"»</w:t>
      </w:r>
      <w:r>
        <w:rPr>
          <w:rFonts w:eastAsia="Calibri"/>
          <w:i/>
          <w:lang w:eastAsia="x-none"/>
        </w:rPr>
        <w:br/>
      </w:r>
    </w:p>
    <w:p>
      <w:pPr>
        <w:pStyle w:val="1"/>
        <w:keepLines/>
        <w:numPr>
          <w:ilvl w:val="0"/>
          <w:numId w:val="0"/>
        </w:numPr>
        <w:spacing w:before="0" w:after="240"/>
        <w:ind w:left="0" w:hanging="0"/>
        <w:rPr>
          <w:sz w:val="24"/>
          <w:szCs w:val="24"/>
          <w:lang w:val="ru-RU"/>
        </w:rPr>
      </w:pPr>
      <w:bookmarkStart w:id="5" w:name="_Toc163479727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bookmarkEnd w:id="5"/>
      <w:r>
        <w:rPr>
          <w:sz w:val="24"/>
          <w:szCs w:val="24"/>
          <w:lang w:val="ru-RU"/>
        </w:rPr>
        <w:t>Перечень объектов заказчика</w:t>
      </w:r>
    </w:p>
    <w:tbl>
      <w:tblPr>
        <w:tblW w:w="991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719"/>
        <w:gridCol w:w="1989"/>
        <w:gridCol w:w="1980"/>
        <w:gridCol w:w="2413"/>
      </w:tblGrid>
      <w:tr>
        <w:trPr/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rPr/>
            </w:pPr>
            <w:r>
              <w:rPr/>
            </w:r>
          </w:p>
        </w:tc>
        <w:tc>
          <w:tcPr>
            <w:tcW w:w="2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 РиМ (маршрутизаторы каналов связи)</w:t>
            </w:r>
          </w:p>
        </w:tc>
        <w:tc>
          <w:tcPr>
            <w:tcW w:w="1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подрядчика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согласно списка</w:t>
            </w:r>
          </w:p>
        </w:tc>
        <w:tc>
          <w:tcPr>
            <w:tcW w:w="2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Эксплуатирующая организация: филиал АО «ДРСК» «Амурские ЭС»</w:t>
            </w:r>
          </w:p>
        </w:tc>
      </w:tr>
    </w:tbl>
    <w:p>
      <w:pPr>
        <w:pStyle w:val="Normal"/>
        <w:spacing w:before="240" w:after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Ремонтные работы выполняются на производственной базе подрядчика.</w:t>
      </w:r>
    </w:p>
    <w:p>
      <w:pPr>
        <w:pStyle w:val="Normal"/>
        <w:spacing w:before="0" w:after="120"/>
        <w:rPr>
          <w:rStyle w:val="Strong"/>
          <w:b w:val="false"/>
          <w:b w:val="false"/>
        </w:rPr>
      </w:pPr>
      <w:bookmarkStart w:id="6" w:name="_Hlk48209761"/>
      <w:bookmarkStart w:id="7" w:name="_Hlk48209761"/>
      <w:bookmarkEnd w:id="7"/>
      <w:r>
        <w:rPr>
          <w:b w:val="false"/>
        </w:rPr>
      </w:r>
    </w:p>
    <w:p>
      <w:pPr>
        <w:pStyle w:val="Normal"/>
        <w:spacing w:before="0" w:after="120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1"/>
        <w:keepLines/>
        <w:numPr>
          <w:ilvl w:val="0"/>
          <w:numId w:val="2"/>
        </w:numPr>
        <w:ind w:left="357" w:hanging="357"/>
        <w:jc w:val="center"/>
        <w:rPr>
          <w:lang w:val="ru-RU"/>
        </w:rPr>
      </w:pPr>
      <w:bookmarkStart w:id="8" w:name="_Toc51339693"/>
      <w:bookmarkStart w:id="9" w:name="_Toc125650919"/>
      <w:bookmarkStart w:id="10" w:name="_Toc163479728"/>
      <w:bookmarkStart w:id="11" w:name="_Toc50125126"/>
      <w:bookmarkStart w:id="12" w:name="_Hlk482097611"/>
      <w:bookmarkEnd w:id="11"/>
      <w:bookmarkEnd w:id="12"/>
      <w:bookmarkEnd w:id="8"/>
      <w:bookmarkEnd w:id="9"/>
      <w:bookmarkEnd w:id="10"/>
      <w:r>
        <w:rPr>
          <w:lang w:val="ru-RU"/>
        </w:rPr>
        <w:t>Требования к продукции</w:t>
      </w:r>
    </w:p>
    <w:p>
      <w:pPr>
        <w:pStyle w:val="4"/>
        <w:numPr>
          <w:ilvl w:val="1"/>
          <w:numId w:val="8"/>
        </w:numPr>
        <w:rPr/>
      </w:pPr>
      <w:bookmarkStart w:id="13" w:name="_Toc125650920"/>
      <w:bookmarkStart w:id="14" w:name="_Toc163479729"/>
      <w:r>
        <w:rPr/>
        <w:t xml:space="preserve">Требования к объемам и срокам </w:t>
      </w:r>
      <w:bookmarkEnd w:id="13"/>
      <w:bookmarkEnd w:id="14"/>
      <w:r>
        <w:rPr>
          <w:lang w:val="ru-RU"/>
        </w:rPr>
        <w:t>выполнения работ</w:t>
      </w:r>
    </w:p>
    <w:p>
      <w:pPr>
        <w:pStyle w:val="3"/>
        <w:numPr>
          <w:ilvl w:val="2"/>
          <w:numId w:val="9"/>
        </w:numPr>
        <w:rPr/>
      </w:pPr>
      <w:bookmarkStart w:id="15" w:name="_Toc125650921"/>
      <w:bookmarkStart w:id="16" w:name="_Toc163479730"/>
      <w:bookmarkEnd w:id="15"/>
      <w:bookmarkEnd w:id="16"/>
      <w:r>
        <w:rPr>
          <w:lang w:val="ru-RU"/>
        </w:rPr>
        <w:t>Требования к видам и объемам работ</w:t>
      </w:r>
    </w:p>
    <w:p>
      <w:pPr>
        <w:pStyle w:val="1"/>
        <w:keepLines/>
        <w:numPr>
          <w:ilvl w:val="0"/>
          <w:numId w:val="0"/>
        </w:numPr>
        <w:spacing w:before="240" w:after="240"/>
        <w:ind w:left="0" w:hanging="0"/>
        <w:rPr>
          <w:sz w:val="24"/>
          <w:szCs w:val="24"/>
          <w:lang w:val="ru-RU"/>
        </w:rPr>
      </w:pPr>
      <w:bookmarkStart w:id="17" w:name="_Toc163479731"/>
      <w:bookmarkStart w:id="1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8"/>
      <w:bookmarkEnd w:id="17"/>
      <w:r>
        <w:rPr>
          <w:sz w:val="24"/>
          <w:szCs w:val="24"/>
          <w:lang w:val="ru-RU"/>
        </w:rPr>
        <w:t>и объем выполняемых работ</w:t>
      </w:r>
    </w:p>
    <w:tbl>
      <w:tblPr>
        <w:tblW w:w="9810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89"/>
        <w:gridCol w:w="2122"/>
      </w:tblGrid>
      <w:tr>
        <w:trPr/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Ремонт приборов РиМ (маршрутизаторы каналов связи)</w:t>
            </w:r>
          </w:p>
        </w:tc>
        <w:tc>
          <w:tcPr>
            <w:tcW w:w="41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соответствии с ведомостью дефектов и объемов работ (Приложение № 1 к настоящим Техническим требованиям)</w:t>
            </w:r>
          </w:p>
        </w:tc>
      </w:tr>
    </w:tbl>
    <w:p>
      <w:pPr>
        <w:pStyle w:val="3"/>
        <w:numPr>
          <w:ilvl w:val="2"/>
          <w:numId w:val="10"/>
        </w:numPr>
        <w:rPr>
          <w:lang w:val="ru-RU"/>
        </w:rPr>
      </w:pPr>
      <w:bookmarkStart w:id="19" w:name="_Toc163479732"/>
      <w:bookmarkStart w:id="20" w:name="_Toc51339696"/>
      <w:r>
        <w:rPr>
          <w:lang w:val="ru-RU"/>
        </w:rPr>
        <w:t xml:space="preserve">Требования </w:t>
      </w:r>
      <w:bookmarkEnd w:id="20"/>
      <w:bookmarkEnd w:id="19"/>
      <w:r>
        <w:rPr>
          <w:lang w:val="ru-RU"/>
        </w:rPr>
        <w:t>к срокам выполнения работ</w:t>
      </w:r>
    </w:p>
    <w:p>
      <w:pPr>
        <w:pStyle w:val="1"/>
        <w:keepLines/>
        <w:numPr>
          <w:ilvl w:val="0"/>
          <w:numId w:val="0"/>
        </w:numPr>
        <w:spacing w:before="240" w:after="240"/>
        <w:ind w:left="0" w:hanging="0"/>
        <w:rPr>
          <w:sz w:val="24"/>
          <w:szCs w:val="24"/>
          <w:lang w:val="ru-RU"/>
        </w:rPr>
      </w:pPr>
      <w:bookmarkStart w:id="21" w:name="_Toc163479733"/>
      <w:bookmarkStart w:id="22" w:name="_Toc50125127"/>
      <w:bookmarkStart w:id="23" w:name="_Toc51339697"/>
      <w:bookmarkStart w:id="24" w:name="_Toc501251261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5"/>
      <w:bookmarkEnd w:id="21"/>
      <w:r>
        <w:rPr>
          <w:sz w:val="24"/>
          <w:szCs w:val="24"/>
          <w:lang w:val="ru-RU"/>
        </w:rPr>
        <w:t>выполнения работ</w:t>
      </w:r>
    </w:p>
    <w:tbl>
      <w:tblPr>
        <w:tblW w:w="9776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2"/>
        <w:gridCol w:w="4823"/>
        <w:gridCol w:w="1983"/>
        <w:gridCol w:w="2127"/>
      </w:tblGrid>
      <w:tr>
        <w:trPr/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yle4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yle4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6" w:name="_Toc46743510"/>
            <w:bookmarkEnd w:id="26"/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4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Ремонт приборов РиМ (маршрутизаторы каналов связи)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(пяти) месяцев с даты начала выполнения работ по Договору</w:t>
            </w:r>
          </w:p>
        </w:tc>
      </w:tr>
    </w:tbl>
    <w:p>
      <w:pPr>
        <w:pStyle w:val="Normal"/>
        <w:suppressAutoHyphens w:val="true"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Этапы выполнения работ указаны в</w:t>
      </w:r>
      <w:r>
        <w:rPr>
          <w:i/>
          <w:sz w:val="24"/>
          <w:szCs w:val="24"/>
        </w:rPr>
        <w:t xml:space="preserve"> Календарном графике выполнения работ</w:t>
      </w:r>
      <w:r>
        <w:rPr>
          <w:sz w:val="24"/>
          <w:szCs w:val="24"/>
        </w:rPr>
        <w:t>, являющегося приложением к проекту договора подряда.</w:t>
      </w:r>
    </w:p>
    <w:p>
      <w:pPr>
        <w:pStyle w:val="4"/>
        <w:numPr>
          <w:ilvl w:val="1"/>
          <w:numId w:val="11"/>
        </w:numPr>
        <w:rPr/>
      </w:pPr>
      <w:bookmarkStart w:id="27" w:name="_Toc51339698"/>
      <w:bookmarkStart w:id="28" w:name="_Toc163479734"/>
      <w:r>
        <w:rPr/>
        <w:t xml:space="preserve">Требования к </w:t>
      </w:r>
      <w:bookmarkEnd w:id="28"/>
      <w:r>
        <w:rPr>
          <w:lang w:val="ru-RU"/>
        </w:rPr>
        <w:t>качеству работ</w:t>
      </w:r>
    </w:p>
    <w:p>
      <w:pPr>
        <w:pStyle w:val="1"/>
        <w:keepLines/>
        <w:numPr>
          <w:ilvl w:val="0"/>
          <w:numId w:val="0"/>
        </w:numPr>
        <w:spacing w:before="240" w:after="240"/>
        <w:ind w:left="0" w:hanging="0"/>
        <w:rPr>
          <w:sz w:val="24"/>
          <w:szCs w:val="24"/>
        </w:rPr>
      </w:pPr>
      <w:bookmarkStart w:id="29" w:name="_Toc163479735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7"/>
      <w:r>
        <w:rPr>
          <w:sz w:val="24"/>
          <w:szCs w:val="24"/>
          <w:lang w:val="ru-RU"/>
        </w:rPr>
        <w:t>качеству работ</w:t>
      </w:r>
      <w:bookmarkEnd w:id="29"/>
      <w:r>
        <w:rPr>
          <w:sz w:val="24"/>
          <w:szCs w:val="24"/>
        </w:rPr>
        <w:t xml:space="preserve"> </w:t>
      </w:r>
    </w:p>
    <w:tbl>
      <w:tblPr>
        <w:tblStyle w:val="af"/>
        <w:tblW w:w="9784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82"/>
        <w:gridCol w:w="1845"/>
        <w:gridCol w:w="2459"/>
        <w:gridCol w:w="1"/>
        <w:gridCol w:w="4696"/>
      </w:tblGrid>
      <w:tr>
        <w:trPr/>
        <w:tc>
          <w:tcPr>
            <w:tcW w:w="782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45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459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9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2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5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9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</w:tr>
      <w:tr>
        <w:trPr>
          <w:trHeight w:val="344" w:hRule="atLeast"/>
        </w:trPr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4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4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469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 xml:space="preserve">Требования к выполнению работ </w:t>
            </w:r>
          </w:p>
        </w:tc>
        <w:tc>
          <w:tcPr>
            <w:tcW w:w="4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4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Ремонтные работы выполняются на производственной базе подрядчика.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После выполнения объема работ Подрядчик: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- уведомляет заказчика о завершении работ по ремонту оборудования (в срок не позднее 3 рабочих дней до направления заказчику);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bookmarkStart w:id="30" w:name="_GoBack"/>
            <w:bookmarkEnd w:id="30"/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- направляет отремонтированные приборы заказчику</w:t>
            </w:r>
          </w:p>
        </w:tc>
        <w:tc>
          <w:tcPr>
            <w:tcW w:w="4696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</w:t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4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Материалы, используемые Подрядчиком в процессе ремонта, должны соответствовать государственным стандартам, техническим условиям и иметь соответствующие сертификаты, технические паспорта или другие документы, удостоверяющие их качество</w:t>
            </w:r>
          </w:p>
        </w:tc>
        <w:tc>
          <w:tcPr>
            <w:tcW w:w="4696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</w:t>
            </w:r>
          </w:p>
          <w:p>
            <w:pPr>
              <w:pStyle w:val="Normal"/>
              <w:widowControl w:val="false"/>
              <w:tabs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Поставка материалов и техники необходимых для выполнения работ – 100% Подрядчика</w:t>
            </w:r>
          </w:p>
        </w:tc>
        <w:tc>
          <w:tcPr>
            <w:tcW w:w="469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  <w:tc>
          <w:tcPr>
            <w:tcW w:w="4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Обеспечение Подрядчиком внутреннего контроля качества выполняемых ремонтных работ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в соответствии с требованиями Постановления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      </w:r>
          </w:p>
        </w:tc>
        <w:tc>
          <w:tcPr>
            <w:tcW w:w="4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</w:t>
            </w:r>
          </w:p>
          <w:p>
            <w:pPr>
              <w:pStyle w:val="Style4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 w:val="false"/>
                <w:bCs/>
                <w:lang w:val="ru-RU" w:eastAsia="ru-RU"/>
              </w:rPr>
            </w:pPr>
            <w:r>
              <w:rPr>
                <w:rFonts w:eastAsia="Times New Roman"/>
                <w:b w:val="false"/>
                <w:bCs/>
                <w:lang w:val="ru-RU" w:eastAsia="ru-RU"/>
              </w:rPr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4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  <w:r>
              <w:rPr>
                <w:rStyle w:val="Style15"/>
                <w:rFonts w:eastAsia="Times New Roman" w:cs="Times New Roman"/>
                <w:b w:val="false"/>
                <w:bCs/>
                <w:i w:val="false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</w:tc>
        <w:tc>
          <w:tcPr>
            <w:tcW w:w="4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Ежемесячная приемка объемов выполненных работ производится в срок до 25 числа отчетного месяца в соответствии с требованиями постановления Российского статистического агентства от 11 ноября 1999 г. N 100 «Об утверждении унифицированных форм первичного учета документации по учету работ в капитальном строительстве и ремонтно-строительных работ» (в том числе предоставляются акты освидетельствования скрытых работ)</w:t>
            </w:r>
          </w:p>
        </w:tc>
        <w:tc>
          <w:tcPr>
            <w:tcW w:w="4696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</w:t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Ежемесячная приемка объемов выполненных работ производится при предъявлении подтверждающей справки (Приложение 2), исполнительной документации, согласованных с представителем курирующей службы, и фотоотчета в эл. виде о выполненных работах (в т.ч. скрытых)</w:t>
            </w:r>
          </w:p>
        </w:tc>
        <w:tc>
          <w:tcPr>
            <w:tcW w:w="469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Приёмка объекта из ремонта осуществляется в соответствии с «Правилами организации технического обслуживания и ремонта объектов электроэнергетики», утвержденных приказом Минэнерго России от 25.10.2017 № 1013, с оформлением и передачей заказчику Акта сдачи-приемки и необходимой исполнительной документации</w:t>
            </w:r>
          </w:p>
        </w:tc>
        <w:tc>
          <w:tcPr>
            <w:tcW w:w="469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4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8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4305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Гарантия исполнителя оговаривается в Договоре подряда на работы. Подрядчик (исполнитель) гарантирует своевременное и качественное выполнение работ, а также устранение дефектов, возникших по его вине в течение не менее 12-ти месяцев с момента приёмки выполненных работ. Гарантия на материалы, поставляемые Подрядчиком не менее 12-ти месяцев</w:t>
            </w:r>
          </w:p>
        </w:tc>
        <w:tc>
          <w:tcPr>
            <w:tcW w:w="469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uppressAutoHyphens w:val="true"/>
              <w:spacing w:before="4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</w:t>
            </w:r>
          </w:p>
          <w:p>
            <w:pPr>
              <w:pStyle w:val="Normal"/>
              <w:widowControl w:val="false"/>
              <w:tabs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pacing w:before="120" w:after="0"/>
        <w:rPr/>
      </w:pPr>
      <w:r>
        <w:rPr/>
      </w:r>
    </w:p>
    <w:p>
      <w:pPr>
        <w:pStyle w:val="1"/>
        <w:keepLines/>
        <w:numPr>
          <w:ilvl w:val="0"/>
          <w:numId w:val="2"/>
        </w:numPr>
        <w:ind w:left="357" w:hanging="357"/>
        <w:jc w:val="center"/>
        <w:rPr>
          <w:lang w:val="ru-RU"/>
        </w:rPr>
      </w:pPr>
      <w:bookmarkStart w:id="31" w:name="_Toc163479736"/>
      <w:bookmarkEnd w:id="31"/>
      <w:r>
        <w:rPr>
          <w:lang w:val="ru-RU"/>
        </w:rPr>
        <w:t>Требования к документации по ценообразованию на этапе закупки</w:t>
      </w:r>
    </w:p>
    <w:p>
      <w:pPr>
        <w:pStyle w:val="Normal"/>
        <w:tabs>
          <w:tab w:val="left" w:pos="284" w:leader="none"/>
        </w:tabs>
        <w:spacing w:before="120" w:after="0"/>
        <w:ind w:firstLine="709"/>
        <w:jc w:val="both"/>
        <w:rPr>
          <w:sz w:val="24"/>
          <w:szCs w:val="22"/>
        </w:rPr>
      </w:pPr>
      <w:r>
        <w:rPr>
          <w:sz w:val="24"/>
          <w:szCs w:val="22"/>
        </w:rPr>
        <w:t>3.1. В обоснование стоимости своей заявки Участник предоставляет Коммерческое предложение (с указанием понижающего коэффициента), с учетом требований к ценообразованию при формировании Коммерческого предложения в составе заявки Участника (приложение 3 к Техническим требованиям).</w:t>
      </w:r>
    </w:p>
    <w:p>
      <w:pPr>
        <w:pStyle w:val="Normal"/>
        <w:tabs>
          <w:tab w:val="left" w:pos="284" w:leader="none"/>
        </w:tabs>
        <w:spacing w:before="120" w:after="0"/>
        <w:ind w:firstLine="709"/>
        <w:jc w:val="both"/>
        <w:rPr>
          <w:sz w:val="24"/>
          <w:szCs w:val="22"/>
        </w:rPr>
      </w:pPr>
      <w:r>
        <w:rPr>
          <w:sz w:val="24"/>
          <w:szCs w:val="22"/>
        </w:rPr>
        <w:t>3.2. Дополнительные документы по ценообразованию (сметная документация (калькуляция)) в состав заявки Участника не включаются.</w:t>
      </w:r>
    </w:p>
    <w:p>
      <w:pPr>
        <w:pStyle w:val="Normal"/>
        <w:widowControl w:val="false"/>
        <w:tabs>
          <w:tab w:val="left" w:pos="426" w:leader="none"/>
        </w:tabs>
        <w:spacing w:before="60" w:after="0"/>
        <w:jc w:val="both"/>
        <w:rPr>
          <w:rStyle w:val="Style15"/>
          <w:b w:val="false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1"/>
        <w:keepLines/>
        <w:numPr>
          <w:ilvl w:val="0"/>
          <w:numId w:val="2"/>
        </w:numPr>
        <w:ind w:left="357" w:hanging="357"/>
        <w:jc w:val="center"/>
        <w:rPr>
          <w:lang w:val="ru-RU"/>
        </w:rPr>
      </w:pPr>
      <w:bookmarkStart w:id="32" w:name="_Toc163479737"/>
      <w:bookmarkEnd w:id="32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</w:p>
    <w:p>
      <w:pPr>
        <w:pStyle w:val="Normal"/>
        <w:tabs>
          <w:tab w:val="left" w:pos="284" w:leader="none"/>
        </w:tabs>
        <w:spacing w:before="120" w:after="0"/>
        <w:ind w:firstLine="709"/>
        <w:jc w:val="both"/>
        <w:rPr>
          <w:sz w:val="24"/>
          <w:szCs w:val="22"/>
        </w:rPr>
      </w:pPr>
      <w:r>
        <w:rPr>
          <w:sz w:val="24"/>
          <w:szCs w:val="22"/>
        </w:rPr>
        <w:t>4.1. Сметная документация (калькуляция) разработана Заказчиком в рамках определения начальной (максимальной) цены договора и включается в состав договора с применением понижающего коэффициента, указанного в заявке Участника, с которым принято решение заключить договор. Понижающий коэффициент начисляется в локальных сметах (калькуляции) единым индексом в итогах (после начисления лимитированных затрат в случае составления одной сметы).</w:t>
      </w:r>
    </w:p>
    <w:p>
      <w:pPr>
        <w:pStyle w:val="Normal"/>
        <w:tabs>
          <w:tab w:val="left" w:pos="284" w:leader="none"/>
        </w:tabs>
        <w:ind w:firstLine="709"/>
        <w:jc w:val="both"/>
        <w:rPr>
          <w:sz w:val="24"/>
          <w:szCs w:val="22"/>
        </w:rPr>
      </w:pPr>
      <w:r>
        <w:rPr>
          <w:sz w:val="24"/>
          <w:szCs w:val="22"/>
        </w:rPr>
        <w:t>4.2. Внесение изменений в сметную документацию (калькуляцию) Заказчика, кроме применения понижающего коэффициента в соответствии с п. 4.1, не допускается.</w:t>
      </w:r>
    </w:p>
    <w:p>
      <w:pPr>
        <w:pStyle w:val="Normal"/>
        <w:tabs>
          <w:tab w:val="left" w:pos="284" w:leader="none"/>
        </w:tabs>
        <w:ind w:firstLine="709"/>
        <w:jc w:val="both"/>
        <w:rPr>
          <w:sz w:val="24"/>
          <w:szCs w:val="22"/>
        </w:rPr>
      </w:pPr>
      <w:r>
        <w:rPr>
          <w:sz w:val="24"/>
          <w:szCs w:val="22"/>
        </w:rPr>
      </w:r>
    </w:p>
    <w:p>
      <w:pPr>
        <w:pStyle w:val="1"/>
        <w:keepLines/>
        <w:numPr>
          <w:ilvl w:val="0"/>
          <w:numId w:val="2"/>
        </w:numPr>
        <w:ind w:left="357" w:hanging="357"/>
        <w:jc w:val="center"/>
        <w:rPr>
          <w:iCs/>
          <w:caps/>
        </w:rPr>
      </w:pPr>
      <w:bookmarkStart w:id="33" w:name="_Toc163479738"/>
      <w:bookmarkEnd w:id="33"/>
      <w:r>
        <w:rPr>
          <w:iCs/>
        </w:rPr>
        <w:t>Приложения</w:t>
      </w:r>
    </w:p>
    <w:p>
      <w:pPr>
        <w:pStyle w:val="Normal"/>
        <w:widowControl w:val="false"/>
        <w:tabs>
          <w:tab w:val="left" w:pos="426" w:leader="none"/>
        </w:tabs>
        <w:spacing w:before="60" w:after="0"/>
        <w:jc w:val="both"/>
        <w:rPr>
          <w:b w:val="false"/>
          <w:b w:val="false"/>
          <w:bCs/>
          <w:iCs/>
          <w:sz w:val="8"/>
          <w:szCs w:val="8"/>
        </w:rPr>
      </w:pPr>
      <w:r>
        <w:rPr>
          <w:b w:val="false"/>
          <w:bCs/>
          <w:iCs/>
          <w:sz w:val="8"/>
          <w:szCs w:val="8"/>
        </w:rPr>
      </w:r>
    </w:p>
    <w:p>
      <w:pPr>
        <w:pStyle w:val="Normal"/>
        <w:spacing w:before="6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Приложение № 1: Ведомость дефектов и объемов работ № 1;</w:t>
      </w:r>
    </w:p>
    <w:p>
      <w:pPr>
        <w:pStyle w:val="Normal"/>
        <w:spacing w:before="6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Приложение № 2: Справка по объемам выполненных работ;</w:t>
      </w:r>
    </w:p>
    <w:p>
      <w:pPr>
        <w:pStyle w:val="Normal"/>
        <w:spacing w:before="6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Приложение № 3: Требования к ценообразованию при формировании Коммерческого предложения в составе заявки участника;</w:t>
      </w:r>
    </w:p>
    <w:p>
      <w:pPr>
        <w:pStyle w:val="Normal"/>
        <w:spacing w:before="6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Приложение № 4: Сметная документация (калькуляция).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widowControl w:val="false"/>
        <w:tabs>
          <w:tab w:val="left" w:pos="426" w:leader="none"/>
        </w:tabs>
        <w:jc w:val="both"/>
        <w:rPr>
          <w:rStyle w:val="Style15"/>
          <w:b w:val="false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left" w:pos="426" w:leader="none"/>
        </w:tabs>
        <w:jc w:val="both"/>
        <w:rPr>
          <w:rStyle w:val="Style15"/>
          <w:b w:val="false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left" w:pos="426" w:leader="none"/>
        </w:tabs>
        <w:spacing w:before="120" w:after="120"/>
        <w:jc w:val="both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851" w:header="680" w:top="1134" w:footer="0" w:bottom="992" w:gutter="0"/>
      <w:pgNumType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6</w:t>
    </w:r>
    <w: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suff w:val="nothing"/>
      <w:lvlText w:val="%1."/>
      <w:lvlJc w:val="left"/>
      <w:pPr>
        <w:ind w:left="17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4"/>
      <w:numFmt w:val="decimal"/>
      <w:suff w:val="nothing"/>
      <w:lvlText w:val="%1.%2."/>
      <w:lvlJc w:val="left"/>
      <w:pPr>
        <w:ind w:left="2232" w:hanging="79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suff w:val="nothing"/>
      <w:lvlText w:val="%1.%2.%3."/>
      <w:lvlJc w:val="left"/>
      <w:pPr>
        <w:ind w:left="2736" w:hanging="936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szCs w:val="24"/>
        <w:bCs w:val="false"/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b/>
        <w:szCs w:val="24"/>
        <w:bCs/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lvl w:ilvl="0">
      <w:start w:val="1"/>
      <w:numFmt w:val="decimal"/>
      <w:suff w:val="nothing"/>
      <w:lvlText w:val="%1."/>
      <w:lvlJc w:val="left"/>
      <w:pPr>
        <w:ind w:left="17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2232" w:hanging="79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suff w:val="nothing"/>
      <w:lvlText w:val="%1.%2.%3."/>
      <w:lvlJc w:val="left"/>
      <w:pPr>
        <w:ind w:left="2736" w:hanging="936"/>
      </w:pPr>
    </w:lvl>
    <w:lvl w:ilvl="3">
      <w:start w:val="1"/>
      <w:numFmt w:val="decimal"/>
      <w:suff w:val="nothing"/>
      <w:lvlText w:val="%1.%2.%3.%4."/>
      <w:lvlJc w:val="left"/>
      <w:pPr>
        <w:ind w:left="3240" w:hanging="1080"/>
      </w:pPr>
    </w:lvl>
    <w:lvl w:ilvl="4">
      <w:start w:val="1"/>
      <w:numFmt w:val="decimal"/>
      <w:suff w:val="nothing"/>
      <w:lvlText w:val="%1.%2.%3.%4.%5."/>
      <w:lvlJc w:val="left"/>
      <w:pPr>
        <w:ind w:left="3744" w:hanging="1224"/>
      </w:pPr>
    </w:lvl>
    <w:lvl w:ilvl="5">
      <w:start w:val="1"/>
      <w:numFmt w:val="decimal"/>
      <w:suff w:val="nothing"/>
      <w:lvlText w:val="%1.%2.%3.%4.%5.%6."/>
      <w:lvlJc w:val="left"/>
      <w:pPr>
        <w:ind w:left="4320" w:hanging="144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8">
    <w:lvl w:ilvl="0">
      <w:start w:val="1"/>
      <w:numFmt w:val="decimal"/>
      <w:suff w:val="nothing"/>
      <w:lvlText w:val="%1."/>
      <w:lvlJc w:val="left"/>
      <w:pPr>
        <w:ind w:left="17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2232" w:hanging="79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suff w:val="nothing"/>
      <w:lvlText w:val="%1.%2.%3."/>
      <w:lvlJc w:val="left"/>
      <w:pPr>
        <w:ind w:left="2736" w:hanging="936"/>
      </w:pPr>
    </w:lvl>
    <w:lvl w:ilvl="3">
      <w:start w:val="1"/>
      <w:numFmt w:val="decimal"/>
      <w:suff w:val="nothing"/>
      <w:lvlText w:val="%1.%2.%3.%4."/>
      <w:lvlJc w:val="left"/>
      <w:pPr>
        <w:ind w:left="3240" w:hanging="1080"/>
      </w:pPr>
    </w:lvl>
    <w:lvl w:ilvl="4">
      <w:start w:val="1"/>
      <w:numFmt w:val="decimal"/>
      <w:suff w:val="nothing"/>
      <w:lvlText w:val="%1.%2.%3.%4.%5."/>
      <w:lvlJc w:val="left"/>
      <w:pPr>
        <w:ind w:left="3744" w:hanging="1224"/>
      </w:pPr>
    </w:lvl>
    <w:lvl w:ilvl="5">
      <w:start w:val="1"/>
      <w:numFmt w:val="decimal"/>
      <w:suff w:val="nothing"/>
      <w:lvlText w:val="%1.%2.%3.%4.%5.%6."/>
      <w:lvlJc w:val="left"/>
      <w:pPr>
        <w:ind w:left="4320" w:hanging="144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9">
    <w:lvl w:ilvl="0">
      <w:start w:val="1"/>
      <w:numFmt w:val="decimal"/>
      <w:suff w:val="nothing"/>
      <w:lvlText w:val="%1."/>
      <w:lvlJc w:val="left"/>
      <w:pPr>
        <w:ind w:left="17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2232" w:hanging="79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suff w:val="nothing"/>
      <w:lvlText w:val="%1.%2.%3."/>
      <w:lvlJc w:val="left"/>
      <w:pPr>
        <w:ind w:left="2736" w:hanging="936"/>
      </w:pPr>
    </w:lvl>
    <w:lvl w:ilvl="3">
      <w:start w:val="1"/>
      <w:numFmt w:val="decimal"/>
      <w:suff w:val="nothing"/>
      <w:lvlText w:val="%1.%2.%3.%4."/>
      <w:lvlJc w:val="left"/>
      <w:pPr>
        <w:ind w:left="3240" w:hanging="1080"/>
      </w:pPr>
    </w:lvl>
    <w:lvl w:ilvl="4">
      <w:start w:val="1"/>
      <w:numFmt w:val="decimal"/>
      <w:suff w:val="nothing"/>
      <w:lvlText w:val="%1.%2.%3.%4.%5."/>
      <w:lvlJc w:val="left"/>
      <w:pPr>
        <w:ind w:left="3744" w:hanging="1224"/>
      </w:pPr>
    </w:lvl>
    <w:lvl w:ilvl="5">
      <w:start w:val="1"/>
      <w:numFmt w:val="decimal"/>
      <w:suff w:val="nothing"/>
      <w:lvlText w:val="%1.%2.%3.%4.%5.%6."/>
      <w:lvlJc w:val="left"/>
      <w:pPr>
        <w:ind w:left="4320" w:hanging="144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0">
    <w:lvl w:ilvl="0">
      <w:start w:val="1"/>
      <w:numFmt w:val="decimal"/>
      <w:suff w:val="nothing"/>
      <w:lvlText w:val="%1."/>
      <w:lvlJc w:val="left"/>
      <w:pPr>
        <w:ind w:left="17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2232" w:hanging="79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suff w:val="nothing"/>
      <w:lvlText w:val="%1.%2.%3."/>
      <w:lvlJc w:val="left"/>
      <w:pPr>
        <w:ind w:left="2736" w:hanging="936"/>
      </w:pPr>
    </w:lvl>
    <w:lvl w:ilvl="3">
      <w:start w:val="1"/>
      <w:numFmt w:val="decimal"/>
      <w:suff w:val="nothing"/>
      <w:lvlText w:val="%1.%2.%3.%4."/>
      <w:lvlJc w:val="left"/>
      <w:pPr>
        <w:ind w:left="3240" w:hanging="1080"/>
      </w:pPr>
    </w:lvl>
    <w:lvl w:ilvl="4">
      <w:start w:val="1"/>
      <w:numFmt w:val="decimal"/>
      <w:suff w:val="nothing"/>
      <w:lvlText w:val="%1.%2.%3.%4.%5."/>
      <w:lvlJc w:val="left"/>
      <w:pPr>
        <w:ind w:left="3744" w:hanging="1224"/>
      </w:pPr>
    </w:lvl>
    <w:lvl w:ilvl="5">
      <w:start w:val="1"/>
      <w:numFmt w:val="decimal"/>
      <w:suff w:val="nothing"/>
      <w:lvlText w:val="%1.%2.%3.%4.%5.%6."/>
      <w:lvlJc w:val="left"/>
      <w:pPr>
        <w:ind w:left="4320" w:hanging="144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1">
    <w:lvl w:ilvl="0">
      <w:start w:val="1"/>
      <w:numFmt w:val="decimal"/>
      <w:suff w:val="nothing"/>
      <w:lvlText w:val="%1."/>
      <w:lvlJc w:val="left"/>
      <w:pPr>
        <w:ind w:left="1728" w:hanging="648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2232" w:hanging="79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suff w:val="nothing"/>
      <w:lvlText w:val="%1.%2.%3."/>
      <w:lvlJc w:val="left"/>
      <w:pPr>
        <w:ind w:left="2736" w:hanging="936"/>
      </w:pPr>
    </w:lvl>
    <w:lvl w:ilvl="3">
      <w:start w:val="1"/>
      <w:numFmt w:val="decimal"/>
      <w:suff w:val="nothing"/>
      <w:lvlText w:val="%1.%2.%3.%4."/>
      <w:lvlJc w:val="left"/>
      <w:pPr>
        <w:ind w:left="3240" w:hanging="1080"/>
      </w:pPr>
    </w:lvl>
    <w:lvl w:ilvl="4">
      <w:start w:val="1"/>
      <w:numFmt w:val="decimal"/>
      <w:suff w:val="nothing"/>
      <w:lvlText w:val="%1.%2.%3.%4.%5."/>
      <w:lvlJc w:val="left"/>
      <w:pPr>
        <w:ind w:left="3744" w:hanging="1224"/>
      </w:pPr>
    </w:lvl>
    <w:lvl w:ilvl="5">
      <w:start w:val="1"/>
      <w:numFmt w:val="decimal"/>
      <w:suff w:val="nothing"/>
      <w:lvlText w:val="%1.%2.%3.%4.%5.%6."/>
      <w:lvlJc w:val="left"/>
      <w:pPr>
        <w:ind w:left="4320" w:hanging="144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link w:val="12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next w:val="Normal"/>
    <w:link w:val="24"/>
    <w:qFormat/>
    <w:rsid w:val="00ea61a8"/>
    <w:pPr>
      <w:numPr>
        <w:ilvl w:val="0"/>
        <w:numId w:val="0"/>
      </w:numPr>
      <w:outlineLvl w:val="1"/>
    </w:pPr>
    <w:rPr/>
  </w:style>
  <w:style w:type="paragraph" w:styleId="3">
    <w:name w:val="Heading 3"/>
    <w:basedOn w:val="Normal"/>
    <w:next w:val="Normal"/>
    <w:link w:val="32"/>
    <w:autoRedefine/>
    <w:qFormat/>
    <w:rsid w:val="00035e96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Normal"/>
    <w:link w:val="40"/>
    <w:qFormat/>
    <w:rsid w:val="006629c9"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next w:val="Normal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link w:val="60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link w:val="70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link w:val="80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6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1" w:customStyle="1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1" w:customStyle="1">
    <w:name w:val="Заголовок 2 Знак"/>
    <w:link w:val="23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link w:val="30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1" w:customStyle="1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7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8" w:customStyle="1">
    <w:name w:val="Подзаголовок Знак"/>
    <w:link w:val="aff2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9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2c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0" w:customStyle="1">
    <w:name w:val="Выделенная цитата Знак"/>
    <w:link w:val="aff7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1" w:customStyle="1">
    <w:name w:val="Электронная подпись Знак"/>
    <w:link w:val="afff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af4"/>
    <w:qFormat/>
    <w:locked/>
    <w:rsid w:val="00d22f6d"/>
    <w:rPr>
      <w:sz w:val="28"/>
    </w:rPr>
  </w:style>
  <w:style w:type="character" w:styleId="Style12" w:customStyle="1">
    <w:name w:val="Текст сноски Знак"/>
    <w:link w:val="a8"/>
    <w:uiPriority w:val="99"/>
    <w:qFormat/>
    <w:rsid w:val="00d22f6d"/>
    <w:rPr/>
  </w:style>
  <w:style w:type="character" w:styleId="Style13" w:customStyle="1">
    <w:name w:val="Основной текст Знак"/>
    <w:link w:val="af1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4" w:customStyle="1">
    <w:name w:val="Абзац списка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styleId="Style15" w:customStyle="1">
    <w:name w:val="комментарий"/>
    <w:qFormat/>
    <w:rsid w:val="0025139e"/>
    <w:rPr>
      <w:i/>
      <w:shd w:fill="FFFF99" w:val="clear"/>
    </w:rPr>
  </w:style>
  <w:style w:type="character" w:styleId="Style16" w:customStyle="1">
    <w:name w:val="Подподпункт Знак"/>
    <w:link w:val="afff7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styleId="Style17" w:customStyle="1">
    <w:name w:val="Верхний колонтитул Знак"/>
    <w:link w:val="ac"/>
    <w:uiPriority w:val="99"/>
    <w:qFormat/>
    <w:rsid w:val="002f31af"/>
    <w:rPr>
      <w:sz w:val="24"/>
      <w:szCs w:val="24"/>
    </w:rPr>
  </w:style>
  <w:style w:type="character" w:styleId="Style18" w:customStyle="1">
    <w:name w:val="Текст примечания Знак"/>
    <w:link w:val="afb"/>
    <w:semiHidden/>
    <w:qFormat/>
    <w:rsid w:val="00dc0f7d"/>
    <w:rPr/>
  </w:style>
  <w:style w:type="character" w:styleId="Style19" w:customStyle="1">
    <w:name w:val="Текст концевой сноски Знак"/>
    <w:basedOn w:val="DefaultParagraphFont"/>
    <w:link w:val="afff9"/>
    <w:qFormat/>
    <w:rsid w:val="003879d4"/>
    <w:rPr/>
  </w:style>
  <w:style w:type="character" w:styleId="Style20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3" w:customStyle="1">
    <w:name w:val="Пункт2 Знак"/>
    <w:link w:val="28"/>
    <w:qFormat/>
    <w:rsid w:val="00de52bc"/>
    <w:rPr>
      <w:b/>
      <w:sz w:val="28"/>
    </w:rPr>
  </w:style>
  <w:style w:type="character" w:styleId="13" w:customStyle="1">
    <w:name w:val="УРОВЕНЬ_1. Знак"/>
    <w:link w:val="1a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3" w:customStyle="1">
    <w:name w:val="Основной текст с отступом 3 Знак"/>
    <w:link w:val="35"/>
    <w:qFormat/>
    <w:rsid w:val="00c36f30"/>
    <w:rPr>
      <w:sz w:val="16"/>
      <w:szCs w:val="16"/>
    </w:rPr>
  </w:style>
  <w:style w:type="character" w:styleId="Style21">
    <w:name w:val="Ссылка указателя"/>
    <w:qFormat/>
    <w:rPr/>
  </w:style>
  <w:style w:type="character" w:styleId="ListLabel1">
    <w:name w:val="ListLabel 1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2">
    <w:name w:val="ListLabel 2"/>
    <w:qFormat/>
    <w:rPr>
      <w:b/>
      <w:bCs/>
      <w:i w:val="false"/>
      <w:iCs/>
      <w:sz w:val="24"/>
      <w:szCs w:val="24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ascii="Times New Roman" w:hAnsi="Times New Roman"/>
      <w:b/>
      <w:bCs w:val="false"/>
      <w:sz w:val="24"/>
      <w:szCs w:val="24"/>
    </w:rPr>
  </w:style>
  <w:style w:type="character" w:styleId="ListLabel14">
    <w:name w:val="ListLabel 14"/>
    <w:qFormat/>
    <w:rPr>
      <w:rFonts w:ascii="Times New Roman" w:hAnsi="Times New Roman"/>
      <w:b/>
      <w:bCs/>
      <w:sz w:val="24"/>
      <w:szCs w:val="24"/>
    </w:rPr>
  </w:style>
  <w:style w:type="character" w:styleId="ListLabel15">
    <w:name w:val="ListLabel 15"/>
    <w:qFormat/>
    <w:rPr>
      <w:rFonts w:ascii="Times New Roman" w:hAnsi="Times New Roman"/>
      <w:sz w:val="24"/>
      <w:szCs w:val="24"/>
    </w:rPr>
  </w:style>
  <w:style w:type="character" w:styleId="ListLabel16">
    <w:name w:val="ListLabel 16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17">
    <w:name w:val="ListLabel 17"/>
    <w:qFormat/>
    <w:rPr>
      <w:b/>
      <w:bCs/>
      <w:i w:val="false"/>
      <w:iCs/>
      <w:sz w:val="24"/>
      <w:szCs w:val="24"/>
    </w:rPr>
  </w:style>
  <w:style w:type="character" w:styleId="ListLabel18">
    <w:name w:val="ListLabel 1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19">
    <w:name w:val="ListLabel 19"/>
    <w:qFormat/>
    <w:rPr>
      <w:b/>
      <w:bCs/>
      <w:i w:val="false"/>
      <w:iCs/>
      <w:sz w:val="24"/>
      <w:szCs w:val="24"/>
    </w:rPr>
  </w:style>
  <w:style w:type="character" w:styleId="ListLabel20">
    <w:name w:val="ListLabel 2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21">
    <w:name w:val="ListLabel 21"/>
    <w:qFormat/>
    <w:rPr>
      <w:b/>
      <w:bCs/>
      <w:i w:val="false"/>
      <w:iCs/>
      <w:sz w:val="24"/>
      <w:szCs w:val="24"/>
    </w:rPr>
  </w:style>
  <w:style w:type="character" w:styleId="ListLabel22">
    <w:name w:val="ListLabel 2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23">
    <w:name w:val="ListLabel 23"/>
    <w:qFormat/>
    <w:rPr>
      <w:b/>
      <w:bCs/>
      <w:i w:val="false"/>
      <w:iCs/>
      <w:sz w:val="24"/>
      <w:szCs w:val="24"/>
    </w:rPr>
  </w:style>
  <w:style w:type="character" w:styleId="ListLabel24">
    <w:name w:val="ListLabel 24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25">
    <w:name w:val="ListLabel 25"/>
    <w:qFormat/>
    <w:rPr>
      <w:b/>
      <w:bCs/>
      <w:i w:val="false"/>
      <w:iCs/>
      <w:sz w:val="24"/>
      <w:szCs w:val="24"/>
    </w:rPr>
  </w:style>
  <w:style w:type="character" w:styleId="ListLabel26">
    <w:name w:val="ListLabel 26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27">
    <w:name w:val="ListLabel 27"/>
    <w:qFormat/>
    <w:rPr>
      <w:b/>
      <w:bCs/>
      <w:i w:val="false"/>
      <w:iCs/>
      <w:sz w:val="24"/>
      <w:szCs w:val="24"/>
    </w:rPr>
  </w:style>
  <w:style w:type="character" w:styleId="ListLabel28">
    <w:name w:val="ListLabel 2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29">
    <w:name w:val="ListLabel 29"/>
    <w:qFormat/>
    <w:rPr>
      <w:b/>
      <w:bCs/>
      <w:i w:val="false"/>
      <w:iCs/>
      <w:sz w:val="24"/>
      <w:szCs w:val="24"/>
    </w:rPr>
  </w:style>
  <w:style w:type="character" w:styleId="ListLabel30">
    <w:name w:val="ListLabel 3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31">
    <w:name w:val="ListLabel 31"/>
    <w:qFormat/>
    <w:rPr>
      <w:b/>
      <w:bCs/>
      <w:i w:val="false"/>
      <w:iCs/>
      <w:sz w:val="24"/>
      <w:szCs w:val="24"/>
    </w:rPr>
  </w:style>
  <w:style w:type="character" w:styleId="ListLabel32">
    <w:name w:val="ListLabel 32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33">
    <w:name w:val="ListLabel 33"/>
    <w:qFormat/>
    <w:rPr>
      <w:b/>
      <w:bCs/>
      <w:i w:val="false"/>
      <w:iCs/>
      <w:sz w:val="24"/>
      <w:szCs w:val="24"/>
    </w:rPr>
  </w:style>
  <w:style w:type="character" w:styleId="ListLabel34">
    <w:name w:val="ListLabel 34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35">
    <w:name w:val="ListLabel 35"/>
    <w:qFormat/>
    <w:rPr>
      <w:b/>
      <w:bCs/>
      <w:i w:val="false"/>
      <w:iCs/>
      <w:sz w:val="24"/>
      <w:szCs w:val="24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af2"/>
    <w:rsid w:val="0076353a"/>
    <w:pPr>
      <w:spacing w:before="0" w:after="12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Style2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8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9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Style30">
    <w:name w:val="Footnote Text"/>
    <w:basedOn w:val="Normal"/>
    <w:link w:val="a9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1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1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Header"/>
    <w:basedOn w:val="Normal"/>
    <w:link w:val="ad"/>
    <w:rsid w:val="0076353a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3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4">
    <w:name w:val="Footer"/>
    <w:basedOn w:val="Normal"/>
    <w:rsid w:val="0076353a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6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5" w:customStyle="1">
    <w:name w:val="Подпункт"/>
    <w:basedOn w:val="Normal"/>
    <w:link w:val="15"/>
    <w:qFormat/>
    <w:rsid w:val="0076353a"/>
    <w:pPr>
      <w:tabs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9"/>
    <w:qFormat/>
    <w:rsid w:val="0076353a"/>
    <w:pPr>
      <w:keepNext w:val="true"/>
      <w:tabs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next w:val="Normal"/>
    <w:autoRedefine/>
    <w:uiPriority w:val="39"/>
    <w:rsid w:val="00d5482f"/>
    <w:pPr>
      <w:tabs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36" w:customStyle="1">
    <w:name w:val="Раздел регламента"/>
    <w:basedOn w:val="Normal"/>
    <w:qFormat/>
    <w:rsid w:val="00e228fa"/>
    <w:pPr/>
    <w:rPr/>
  </w:style>
  <w:style w:type="paragraph" w:styleId="Style3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fc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uiPriority w:val="39"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uiPriority w:val="39"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39">
    <w:name w:val="Subtitle"/>
    <w:basedOn w:val="Normal"/>
    <w:next w:val="Normal"/>
    <w:link w:val="aff3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aff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d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TOCHeading">
    <w:name w:val="TOC Heading"/>
    <w:basedOn w:val="1"/>
    <w:next w:val="Normal"/>
    <w:uiPriority w:val="39"/>
    <w:qFormat/>
    <w:rsid w:val="00d22f6d"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afff0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0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1" w:customStyle="1">
    <w:name w:val="Пункт"/>
    <w:basedOn w:val="Normal"/>
    <w:qFormat/>
    <w:rsid w:val="00d22f6d"/>
    <w:pPr>
      <w:widowControl w:val="false"/>
      <w:tabs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2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3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4" w:customStyle="1">
    <w:name w:val="Подподпункт"/>
    <w:basedOn w:val="Style35"/>
    <w:link w:val="afff8"/>
    <w:qFormat/>
    <w:rsid w:val="0025139e"/>
    <w:pPr>
      <w:tabs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5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46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9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47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Symbol">
    <w:name w:val="Endnote Symbol"/>
    <w:basedOn w:val="Normal"/>
    <w:link w:val="afffa"/>
    <w:qFormat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48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b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iPriority w:val="39"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iPriority w:val="39"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iPriority w:val="39"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PlainText1" w:customStyle="1">
    <w:name w:val="Plain Text1"/>
    <w:basedOn w:val="Normal"/>
    <w:qFormat/>
    <w:rsid w:val="00c62d8a"/>
    <w:pPr>
      <w:widowControl w:val="false"/>
    </w:pPr>
    <w:rPr>
      <w:rFonts w:ascii="Courier New" w:hAnsi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8C595-E787-4466-AE17-35C3035F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LibreOffice/5.3.6.1$Linux_X86_64 LibreOffice_project/30$Build-1</Application>
  <Pages>6</Pages>
  <Words>979</Words>
  <Characters>6637</Characters>
  <CharactersWithSpaces>7478</CharactersWithSpaces>
  <Paragraphs>138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2024-04-08T05:40:00Z</dcterms:created>
  <dc:creator>Быстров Олег Геннадьевич</dc:creator>
  <dc:description/>
  <dc:language>ru-RU</dc:language>
  <cp:lastModifiedBy/>
  <cp:lastPrinted>2023-01-26T10:07:00Z</cp:lastPrinted>
  <dcterms:modified xsi:type="dcterms:W3CDTF">2026-05-04T12:27:58Z</dcterms:modified>
  <cp:revision>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</Properties>
</file>