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media/image1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57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8"/>
        </w:rPr>
        <w:t>Приложение 1. Техническое задание на выполнение работы</w:t>
      </w:r>
    </w:p>
    <w:p>
      <w:pPr>
        <w:pStyle w:val="Normal"/>
        <w:bidi w:val="0"/>
        <w:spacing w:before="0" w:after="5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>Наименование работы: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</w:rPr>
        <w:t>П</w:t>
      </w:r>
      <w:r>
        <w:rPr>
          <w:rFonts w:ascii="Times New Roman" w:hAnsi="Times New Roman"/>
          <w:b w:val="false"/>
          <w:bCs w:val="false"/>
          <w:i/>
        </w:rPr>
        <w:t xml:space="preserve">одводно-техническое обследование гидротехнических </w:t>
      </w:r>
    </w:p>
    <w:p>
      <w:pPr>
        <w:pStyle w:val="Normal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/>
        </w:rPr>
        <w:t>сооружений филиала ПАО "РусГидро"-"Камская ГЭС".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i/>
          <w:iCs/>
          <w:kern w:val="2"/>
          <w:lang w:eastAsia="ru-RU"/>
        </w:rPr>
        <w:t>Заказчик:</w:t>
      </w:r>
      <w:r>
        <w:rPr>
          <w:rFonts w:eastAsia="Times New Roman" w:ascii="Times New Roman" w:hAnsi="Times New Roman"/>
          <w:b w:val="false"/>
          <w:bCs w:val="false"/>
          <w:kern w:val="2"/>
          <w:lang w:eastAsia="ru-RU"/>
        </w:rPr>
        <w:t xml:space="preserve"> </w:t>
      </w:r>
      <w:r>
        <w:rPr>
          <w:rFonts w:ascii="Times New Roman" w:hAnsi="Times New Roman"/>
          <w:b w:val="false"/>
          <w:bCs w:val="false"/>
          <w:i/>
        </w:rPr>
        <w:t>ПАО «РусГидро», для нужд филиала ПАО «РусГидро» - «Камская ГЭС» (далее – Филиал). Адрес филиала: 614030, Россия, Пермский край, город Пермь, Камская ГЭС.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>Сроки оказания услуг :</w:t>
      </w:r>
      <w:r>
        <w:rPr>
          <w:rFonts w:ascii="Times New Roman" w:hAnsi="Times New Roman"/>
          <w:b w:val="false"/>
          <w:bCs w:val="false"/>
          <w:i/>
        </w:rPr>
        <w:t xml:space="preserve"> 01.04.2028-01.12.2028гг.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ind w:left="0" w:right="0" w:hanging="0"/>
        <w:jc w:val="both"/>
        <w:rPr>
          <w:rFonts w:ascii="Times New Roman;Times New Roman" w:hAnsi="Times New Roman;Times New Roman" w:eastAsia="Times New Roman;Times New Roman" w:cs="Times New Roman;Times New Roman"/>
          <w:b/>
          <w:bCs/>
          <w:kern w:val="2"/>
          <w:sz w:val="24"/>
          <w:szCs w:val="24"/>
          <w:lang w:eastAsia="ru-RU"/>
        </w:rPr>
      </w:pPr>
      <w:r>
        <w:rPr>
          <w:rFonts w:cs="Times New Roman;Times New Roman" w:ascii="Times New Roman;Times New Roman" w:hAnsi="Times New Roman;Times New Roman"/>
          <w:b/>
          <w:i/>
          <w:iCs/>
          <w:color w:val="000000"/>
          <w:sz w:val="24"/>
          <w:szCs w:val="24"/>
        </w:rPr>
        <w:t>Цели и задачи. Существующее положение:</w:t>
      </w:r>
    </w:p>
    <w:p>
      <w:pPr>
        <w:pStyle w:val="Normal"/>
        <w:numPr>
          <w:ilvl w:val="1"/>
          <w:numId w:val="3"/>
        </w:numPr>
        <w:bidi w:val="0"/>
        <w:spacing w:lineRule="auto" w:line="240" w:before="0" w:after="0"/>
        <w:ind w:left="0" w:right="0" w:hanging="0"/>
        <w:jc w:val="both"/>
        <w:rPr>
          <w:rFonts w:ascii="Times New Roman;Times New Roman" w:hAnsi="Times New Roman;Times New Roman" w:eastAsia="Times New Roman;Times New Roman" w:cs="Times New Roman;Times New Roman"/>
          <w:b/>
          <w:bCs/>
          <w:kern w:val="2"/>
          <w:sz w:val="24"/>
          <w:szCs w:val="24"/>
          <w:lang w:eastAsia="ru-RU"/>
        </w:rPr>
      </w:pPr>
      <w:r>
        <w:rPr>
          <w:rFonts w:cs="Times New Roman;Times New Roman" w:ascii="Times New Roman;Times New Roman" w:hAnsi="Times New Roman;Times New Roman"/>
          <w:sz w:val="24"/>
          <w:szCs w:val="24"/>
        </w:rPr>
        <w:t>Основной целью подводно–технического обследования (далее – ПТО) является получение достоверной информации о состоянии: железобетонных конструкций понура, водобоя, укороченной рисбермы, береговых откосов подводящего и отводящего каналов, крепления зуба водобоя, а также неукрепленных участков дна (русла) с целью оценки эксплуатационной безопасности гидроузла.</w:t>
      </w:r>
    </w:p>
    <w:p>
      <w:pPr>
        <w:pStyle w:val="Normal"/>
        <w:numPr>
          <w:ilvl w:val="1"/>
          <w:numId w:val="3"/>
        </w:numPr>
        <w:bidi w:val="0"/>
        <w:spacing w:lineRule="auto" w:line="240" w:before="0" w:after="0"/>
        <w:ind w:left="0" w:right="0" w:hanging="0"/>
        <w:jc w:val="both"/>
        <w:rPr>
          <w:rFonts w:ascii="Times New Roman;Times New Roman" w:hAnsi="Times New Roman;Times New Roman" w:eastAsia="Times New Roman;Times New Roman" w:cs="Times New Roman;Times New Roman"/>
          <w:b/>
          <w:bCs/>
          <w:kern w:val="2"/>
          <w:sz w:val="24"/>
          <w:szCs w:val="24"/>
          <w:lang w:eastAsia="ru-RU"/>
        </w:rPr>
      </w:pPr>
      <w:r>
        <w:rPr>
          <w:rFonts w:eastAsia="Times New Roman;Times New Roman" w:cs="Times New Roman;Times New Roman" w:ascii="Times New Roman;Times New Roman" w:hAnsi="Times New Roman;Times New Roman"/>
          <w:bCs/>
          <w:kern w:val="2"/>
          <w:sz w:val="24"/>
          <w:szCs w:val="24"/>
          <w:lang w:eastAsia="ru-RU"/>
        </w:rPr>
        <w:t>Основной задачей является получение материалов, необходимых для оценки состояния безопасности сооружений, своевременного выявления дефектов и повреждений, влияющих на снижение эксплуатационной надежности сооружений.</w:t>
      </w:r>
    </w:p>
    <w:p>
      <w:pPr>
        <w:pStyle w:val="Normal"/>
        <w:numPr>
          <w:ilvl w:val="1"/>
          <w:numId w:val="3"/>
        </w:numPr>
        <w:bidi w:val="0"/>
        <w:spacing w:lineRule="auto" w:line="240" w:before="0" w:after="0"/>
        <w:ind w:left="0" w:right="0" w:hanging="0"/>
        <w:jc w:val="both"/>
        <w:rPr>
          <w:rFonts w:ascii="Times New Roman;Times New Roman" w:hAnsi="Times New Roman;Times New Roman" w:eastAsia="Times New Roman;Times New Roman" w:cs="Times New Roman;Times New Roman"/>
          <w:b/>
          <w:bCs/>
          <w:kern w:val="2"/>
          <w:sz w:val="24"/>
          <w:szCs w:val="24"/>
          <w:lang w:eastAsia="ru-RU"/>
        </w:rPr>
      </w:pPr>
      <w:r>
        <w:rPr>
          <w:rFonts w:eastAsia="Times New Roman;Times New Roman" w:cs="Times New Roman;Times New Roman" w:ascii="Times New Roman;Times New Roman" w:hAnsi="Times New Roman;Times New Roman"/>
          <w:bCs/>
          <w:kern w:val="2"/>
          <w:sz w:val="24"/>
          <w:szCs w:val="24"/>
          <w:lang w:eastAsia="ru-RU"/>
        </w:rPr>
        <w:t>Существующее положение:</w:t>
      </w:r>
    </w:p>
    <w:p>
      <w:pPr>
        <w:pStyle w:val="Normal"/>
        <w:widowControl w:val="false"/>
        <w:numPr>
          <w:ilvl w:val="2"/>
          <w:numId w:val="3"/>
        </w:numPr>
        <w:bidi w:val="0"/>
        <w:spacing w:lineRule="auto" w:line="240" w:before="0" w:after="0"/>
        <w:ind w:left="0" w:right="0" w:firstLine="851"/>
        <w:jc w:val="both"/>
        <w:rPr>
          <w:rFonts w:ascii="Times New Roman;Times New Roman" w:hAnsi="Times New Roman;Times New Roman" w:eastAsia="Times New Roman;Times New Roman" w:cs="Times New Roman;Times New Roman"/>
          <w:sz w:val="24"/>
          <w:szCs w:val="24"/>
          <w:lang w:eastAsia="ru-RU"/>
        </w:rPr>
      </w:pPr>
      <w:r>
        <w:rPr>
          <w:rFonts w:eastAsia="Times New Roman;Times New Roman" w:cs="Times New Roman;Times New Roman" w:ascii="Times New Roman;Times New Roman" w:hAnsi="Times New Roman;Times New Roman"/>
          <w:sz w:val="24"/>
          <w:szCs w:val="24"/>
          <w:lang w:eastAsia="ru-RU"/>
        </w:rPr>
        <w:t>Месторасположение объекта производства работ. Краткая характеристика гидротехнических сооружений (далее-ГТС) Камского гидроузла.</w:t>
      </w:r>
    </w:p>
    <w:p>
      <w:pPr>
        <w:pStyle w:val="Normal"/>
        <w:bidi w:val="0"/>
        <w:spacing w:lineRule="auto" w:line="240" w:before="0" w:after="0"/>
        <w:ind w:left="0" w:right="0" w:firstLine="851"/>
        <w:jc w:val="both"/>
        <w:rPr>
          <w:rFonts w:ascii="Times New Roman;Times New Roman" w:hAnsi="Times New Roman;Times New Roman" w:eastAsia="Times New Roman;Times New Roman" w:cs="Times New Roman;Times New Roman"/>
          <w:sz w:val="24"/>
          <w:szCs w:val="24"/>
          <w:lang w:eastAsia="ru-RU"/>
        </w:rPr>
      </w:pPr>
      <w:r>
        <w:rPr>
          <w:rFonts w:eastAsia="Times New Roman;Times New Roman" w:cs="Times New Roman;Times New Roman" w:ascii="Times New Roman;Times New Roman" w:hAnsi="Times New Roman;Times New Roman"/>
          <w:sz w:val="24"/>
          <w:szCs w:val="24"/>
          <w:lang w:eastAsia="ru-RU"/>
        </w:rPr>
        <w:t>Камский гидроузел, образующий Камское водохранилище, расположен в 938 км от устья р. Камы ниже впадения в неё р. Чусовой в пределах северной окраины г. Перми. Площадь водосбора р. Камы в створе Камского гидроузла составляет 168 000 км2.</w:t>
      </w:r>
    </w:p>
    <w:p>
      <w:pPr>
        <w:pStyle w:val="Normal"/>
        <w:bidi w:val="0"/>
        <w:spacing w:lineRule="auto" w:line="240" w:before="0" w:after="0"/>
        <w:ind w:left="0" w:right="0" w:firstLine="851"/>
        <w:jc w:val="both"/>
        <w:rPr>
          <w:rFonts w:ascii="Times New Roman;Times New Roman" w:hAnsi="Times New Roman;Times New Roman" w:eastAsia="Times New Roman;Times New Roman" w:cs="Times New Roman;Times New Roman"/>
          <w:sz w:val="24"/>
          <w:szCs w:val="24"/>
          <w:lang w:eastAsia="ru-RU"/>
        </w:rPr>
      </w:pPr>
      <w:r>
        <w:rPr>
          <w:rFonts w:cs="Times New Roman;Times New Roman" w:ascii="Times New Roman;Times New Roman" w:hAnsi="Times New Roman;Times New Roman"/>
          <w:sz w:val="24"/>
          <w:szCs w:val="24"/>
          <w:lang w:eastAsia="ru-RU"/>
        </w:rPr>
        <w:t>Гидротехнические сооружения Камской ГЭС относятся к 1 классу опасности.</w:t>
      </w:r>
    </w:p>
    <w:p>
      <w:pPr>
        <w:pStyle w:val="Normal"/>
        <w:bidi w:val="0"/>
        <w:spacing w:lineRule="auto" w:line="240" w:before="0" w:after="0"/>
        <w:ind w:left="0" w:right="0" w:firstLine="851"/>
        <w:jc w:val="both"/>
        <w:rPr>
          <w:rFonts w:ascii="Times New Roman;Times New Roman" w:hAnsi="Times New Roman;Times New Roman" w:eastAsia="Times New Roman;Times New Roman" w:cs="Times New Roman;Times New Roman"/>
          <w:sz w:val="24"/>
          <w:szCs w:val="24"/>
          <w:lang w:eastAsia="ru-RU"/>
        </w:rPr>
      </w:pPr>
      <w:r>
        <w:rPr>
          <w:rFonts w:cs="Times New Roman;Times New Roman" w:ascii="Times New Roman;Times New Roman" w:hAnsi="Times New Roman;Times New Roman"/>
          <w:sz w:val="24"/>
          <w:szCs w:val="24"/>
          <w:lang w:eastAsia="ru-RU"/>
        </w:rPr>
        <w:t>В комплекс ГТС Камского гидроузла, подведомственные Филиалу входят следующие объекты:</w:t>
      </w:r>
    </w:p>
    <w:p>
      <w:pPr>
        <w:pStyle w:val="Normal"/>
        <w:widowControl w:val="false"/>
        <w:numPr>
          <w:ilvl w:val="3"/>
          <w:numId w:val="3"/>
        </w:numPr>
        <w:bidi w:val="0"/>
        <w:spacing w:lineRule="auto" w:line="240" w:before="0" w:after="0"/>
        <w:ind w:left="0" w:right="0" w:firstLine="851"/>
        <w:jc w:val="both"/>
        <w:rPr>
          <w:rFonts w:ascii="Times New Roman;Times New Roman" w:hAnsi="Times New Roman;Times New Roman" w:eastAsia="Times New Roman;Times New Roman" w:cs="Times New Roman;Times New Roman"/>
          <w:sz w:val="24"/>
          <w:szCs w:val="24"/>
          <w:lang w:eastAsia="ru-RU"/>
        </w:rPr>
      </w:pPr>
      <w:r>
        <w:rPr/>
        <w:t>железобетонная водосливная плотина, совмещенная со зданием ГЭС;</w:t>
      </w:r>
    </w:p>
    <w:p>
      <w:pPr>
        <w:pStyle w:val="BodyText"/>
        <w:numPr>
          <w:ilvl w:val="0"/>
          <w:numId w:val="4"/>
        </w:numPr>
        <w:bidi w:val="0"/>
        <w:spacing w:before="0" w:after="0"/>
        <w:ind w:left="0" w:righ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Тип плотины: русловая, гравитационная плотина, совмещенная со зданием ГЭС.</w:t>
      </w:r>
    </w:p>
    <w:p>
      <w:pPr>
        <w:pStyle w:val="BodyText"/>
        <w:numPr>
          <w:ilvl w:val="0"/>
          <w:numId w:val="4"/>
        </w:numPr>
        <w:bidi w:val="0"/>
        <w:spacing w:before="0" w:after="0"/>
        <w:ind w:left="0" w:righ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Материал тела плотины: железобетон.</w:t>
      </w:r>
    </w:p>
    <w:p>
      <w:pPr>
        <w:pStyle w:val="BodyText"/>
        <w:numPr>
          <w:ilvl w:val="0"/>
          <w:numId w:val="4"/>
        </w:numPr>
        <w:bidi w:val="0"/>
        <w:spacing w:before="0" w:after="0"/>
        <w:ind w:left="0" w:righ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особенности компоновки и конструкции: водосливная плотина, совмещена со зданием ГЭС и расположена у правого берега реки в русле на гипсоносном основании, состоит из 4-х секций, разделенных по осям шестиметровых разделительных бычков температурно-осадочными швами. Каждая секция разделена на шесть водосбросных отверстий промежуточными бычками. </w:t>
      </w:r>
      <w:r>
        <w:rPr>
          <w:sz w:val="24"/>
          <w:szCs w:val="24"/>
          <w:lang w:eastAsia="ar-SA"/>
        </w:rPr>
        <w:t>Промежуточные бычки, толщиной 4 м, по 5 в каждой секции, разрезаны температурными швами, доходящими до верха фундаментной плиты. По бычкам ВБ водосливной плотины проходит одноколейная железная дорога. Автодорога проходит со стороны нижнего бьефа.</w:t>
      </w:r>
    </w:p>
    <w:p>
      <w:pPr>
        <w:pStyle w:val="BodyText"/>
        <w:numPr>
          <w:ilvl w:val="0"/>
          <w:numId w:val="5"/>
        </w:numPr>
        <w:bidi w:val="0"/>
        <w:spacing w:before="0" w:after="0"/>
        <w:ind w:left="0" w:righ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Длина по гребню: между лицевыми гранями устоев - 386 м.</w:t>
      </w:r>
    </w:p>
    <w:p>
      <w:pPr>
        <w:pStyle w:val="BodyText"/>
        <w:numPr>
          <w:ilvl w:val="0"/>
          <w:numId w:val="5"/>
        </w:numPr>
        <w:bidi w:val="0"/>
        <w:spacing w:before="0" w:after="0"/>
        <w:ind w:left="0" w:righ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Ширина плотины на отметке бычков верхнего бьефа: 38,33 м.</w:t>
      </w:r>
    </w:p>
    <w:p>
      <w:pPr>
        <w:pStyle w:val="BodyText"/>
        <w:numPr>
          <w:ilvl w:val="0"/>
          <w:numId w:val="5"/>
        </w:numPr>
        <w:bidi w:val="0"/>
        <w:spacing w:before="0" w:after="0"/>
        <w:ind w:left="0" w:righ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Ширина по подошве: 48,0 м.</w:t>
      </w:r>
    </w:p>
    <w:p>
      <w:pPr>
        <w:pStyle w:val="BodyText"/>
        <w:numPr>
          <w:ilvl w:val="0"/>
          <w:numId w:val="6"/>
        </w:numPr>
        <w:bidi w:val="0"/>
        <w:spacing w:before="0" w:after="0"/>
        <w:ind w:left="0" w:righ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Максимальная высота (от подошвы фундаментной плиты абс.отм.75,06м до верха бычков с ВБ абс.отм.112,06м): 37м</w:t>
      </w:r>
    </w:p>
    <w:p>
      <w:pPr>
        <w:pStyle w:val="BodyText"/>
        <w:numPr>
          <w:ilvl w:val="0"/>
          <w:numId w:val="6"/>
        </w:numPr>
        <w:bidi w:val="0"/>
        <w:spacing w:before="0" w:after="0"/>
        <w:ind w:left="0" w:righ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Отметка гребня (бычков с ВБ): 112,06 м. </w:t>
      </w:r>
    </w:p>
    <w:p>
      <w:pPr>
        <w:pStyle w:val="BodyText"/>
        <w:numPr>
          <w:ilvl w:val="0"/>
          <w:numId w:val="6"/>
        </w:numPr>
        <w:bidi w:val="0"/>
        <w:spacing w:before="0" w:after="0"/>
        <w:ind w:left="0" w:righ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пролетов для пропуска воды: 23 (24-ый водосливной пролет закрыт наглухо).</w:t>
      </w:r>
    </w:p>
    <w:p>
      <w:pPr>
        <w:pStyle w:val="BodyText"/>
        <w:numPr>
          <w:ilvl w:val="0"/>
          <w:numId w:val="6"/>
        </w:numPr>
        <w:bidi w:val="0"/>
        <w:spacing w:before="0" w:after="0"/>
        <w:ind w:left="0" w:righ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Водосбросные отверстия прямоугольного сечения: ширина в свету – 12,0 м; высота (от отм. порога водослива 97,41м до верха бычков с верхнего бьефа 112,06м)  – 14,65 м. </w:t>
      </w:r>
    </w:p>
    <w:p>
      <w:pPr>
        <w:pStyle w:val="BodyText"/>
        <w:numPr>
          <w:ilvl w:val="0"/>
          <w:numId w:val="6"/>
        </w:numPr>
        <w:bidi w:val="0"/>
        <w:spacing w:before="0" w:after="0"/>
        <w:ind w:left="0" w:righ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Отметка порога водосливной плотины: 97,41 м. </w:t>
      </w:r>
    </w:p>
    <w:p>
      <w:pPr>
        <w:pStyle w:val="BodyText"/>
        <w:numPr>
          <w:ilvl w:val="0"/>
          <w:numId w:val="6"/>
        </w:numPr>
        <w:bidi w:val="0"/>
        <w:spacing w:before="0" w:after="0"/>
        <w:ind w:left="0" w:righ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Максимальный напор на сооружение (при мin уровне воды НБ 86,5м): 22,0 м. </w:t>
      </w:r>
    </w:p>
    <w:p>
      <w:pPr>
        <w:pStyle w:val="BodyText"/>
        <w:numPr>
          <w:ilvl w:val="0"/>
          <w:numId w:val="6"/>
        </w:numPr>
        <w:bidi w:val="0"/>
        <w:spacing w:before="0" w:after="0"/>
        <w:ind w:left="0" w:righ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Конструкция сопрягающих устройств: Сопрягающие устройства состоят из левобережного и правобережного устоев. В железобетонном массиве правобережного устоя расположена монтажная мастерская и маслохозяйство.</w:t>
        <w:tab/>
      </w:r>
    </w:p>
    <w:p>
      <w:pPr>
        <w:pStyle w:val="BodyText"/>
        <w:numPr>
          <w:ilvl w:val="0"/>
          <w:numId w:val="6"/>
        </w:numPr>
        <w:bidi w:val="0"/>
        <w:spacing w:before="0" w:after="0"/>
        <w:ind w:left="0" w:righ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Противофильтрационное устройство: Понур, длиной 100 м, выполненный в виде битумного ковра из слоя литого асфальта толщиной 5 см, уложенного на слой бетонной подготовки толщиной 15см, с наклейкой на него двух слоёв асфальтоматов. На битумный ковёр уложена стяжка толщиной 3см, затем слой суглинка толщиной 0,5-1,0 м. Защита понура осуществлена посредством железобетонных плит толщиной 0,5-1,0 м, уложенных на песчаную пригрузку, по слою гравия толщиной 20 см.</w:t>
      </w:r>
    </w:p>
    <w:p>
      <w:pPr>
        <w:pStyle w:val="BodyText"/>
        <w:numPr>
          <w:ilvl w:val="0"/>
          <w:numId w:val="6"/>
        </w:numPr>
        <w:bidi w:val="0"/>
        <w:spacing w:before="0" w:after="0"/>
        <w:ind w:left="0" w:righ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Конструкция водобоя и рисбермы: крепление русла в нижнем бьефе обеспечивается водобойным участком длиной 100,0 м из шарнирно связанных армированных бетонных плит, размером 20,0х16,0 м и толщиной от 3,0 м в начале и до 2,0 м в конце водобоя. Первые 20,0 м на отметке 79,06 м (Б.С) поверхность водобоя горизонтальная, на следующих 20,0 м она повышается до отметки 82,06 м. Следующий 20-метровый водобойный участок продолжается на отм.82,06м укороченной рисбермой и через 20,0 м переходит на отметку 81,56 м также в горизонтальную поверхность. Водобойный участок оканчивается вертикальным зубом переменной глубины (11,7-14,10 м). Подошва зуба заглублена в плитчатые известняки. В плитах рисбермы сделаны дренажные отверстия 30х30 см через 3 метра вне зоны возможных ударов водосливной струи. </w:t>
      </w:r>
    </w:p>
    <w:p>
      <w:pPr>
        <w:pStyle w:val="Normal"/>
        <w:widowControl w:val="false"/>
        <w:numPr>
          <w:ilvl w:val="3"/>
          <w:numId w:val="3"/>
        </w:numPr>
        <w:bidi w:val="0"/>
        <w:spacing w:lineRule="auto" w:line="240" w:before="0" w:after="0"/>
        <w:ind w:left="0" w:right="0" w:firstLine="851"/>
        <w:jc w:val="both"/>
        <w:rPr>
          <w:rFonts w:ascii="Times New Roman;Times New Roman" w:hAnsi="Times New Roman;Times New Roman" w:eastAsia="Times New Roman;Times New Roman" w:cs="Times New Roman;Times New Roman"/>
          <w:sz w:val="24"/>
          <w:szCs w:val="24"/>
          <w:lang w:eastAsia="ru-RU"/>
        </w:rPr>
      </w:pPr>
      <w:r>
        <w:rPr>
          <w:rFonts w:eastAsia="Times New Roman;Times New Roman" w:cs="Times New Roman;Times New Roman" w:ascii="Times New Roman;Times New Roman" w:hAnsi="Times New Roman;Times New Roman"/>
          <w:sz w:val="24"/>
          <w:szCs w:val="24"/>
          <w:lang w:eastAsia="ru-RU"/>
        </w:rPr>
        <w:t xml:space="preserve"> </w:t>
      </w:r>
      <w:r>
        <w:rPr>
          <w:rFonts w:eastAsia="Times New Roman;Times New Roman" w:cs="Times New Roman;Times New Roman" w:ascii="Times New Roman;Times New Roman" w:hAnsi="Times New Roman;Times New Roman"/>
          <w:sz w:val="24"/>
          <w:szCs w:val="24"/>
          <w:lang w:eastAsia="ru-RU"/>
        </w:rPr>
        <w:t>русловая грунтовая плотина;</w:t>
      </w:r>
    </w:p>
    <w:p>
      <w:pPr>
        <w:pStyle w:val="BodyText"/>
        <w:numPr>
          <w:ilvl w:val="0"/>
          <w:numId w:val="7"/>
        </w:numPr>
        <w:bidi w:val="0"/>
        <w:spacing w:before="0" w:after="0"/>
        <w:ind w:left="0" w:righ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Русловая земляная плотина имеет протяженность по гребню 650м. Часть плотины длиной 301 м. расположена в русле реки, и часть длиной 349м на пойме.</w:t>
      </w:r>
    </w:p>
    <w:p>
      <w:pPr>
        <w:pStyle w:val="BodyText"/>
        <w:numPr>
          <w:ilvl w:val="0"/>
          <w:numId w:val="7"/>
        </w:numPr>
        <w:bidi w:val="0"/>
        <w:spacing w:before="0" w:after="0"/>
        <w:ind w:left="0" w:righ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Ширина плотины по гребню выполнена переменной, с минимальным размером 11м, (ПК5+30...ПК6+05). Максимальная ширина по основанию 280м. Наибольшая высота плотины равна 35 м (отметка гребня 114,00 . 117,5м). Верховой откос плотины имеет уклон от 1:2,5 у гребня до 1:12 у подошвы. </w:t>
      </w:r>
    </w:p>
    <w:p>
      <w:pPr>
        <w:pStyle w:val="BodyText"/>
        <w:numPr>
          <w:ilvl w:val="0"/>
          <w:numId w:val="7"/>
        </w:numPr>
        <w:bidi w:val="0"/>
        <w:spacing w:before="0" w:after="0"/>
        <w:ind w:left="0" w:righ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Верховой откос плотины от гребня до отметки 104,0м  защищен от волнового воздействия бетонными армированными плитами, толщиной 15...40см, ниже до отметки 100,0 м выполнена каменная наброска слоем 0,7 м на втрамбованном щебне 0,3 м. </w:t>
      </w:r>
      <w:r>
        <w:rPr>
          <w:sz w:val="24"/>
          <w:szCs w:val="24"/>
          <w:lang w:val="ru-RU"/>
        </w:rPr>
        <w:t>С верховой стороны плотины оставлена ряжевая перемычка, позволяющая создать минимальный напор, необходимый для ввода в эксплуатацию шлюза и первоочередных агрегатов гидростанции.</w:t>
      </w:r>
    </w:p>
    <w:p>
      <w:pPr>
        <w:pStyle w:val="Normal"/>
        <w:widowControl w:val="false"/>
        <w:numPr>
          <w:ilvl w:val="3"/>
          <w:numId w:val="3"/>
        </w:numPr>
        <w:bidi w:val="0"/>
        <w:spacing w:lineRule="auto" w:line="240" w:before="0" w:after="0"/>
        <w:ind w:left="0" w:right="0" w:firstLine="851"/>
        <w:jc w:val="both"/>
        <w:rPr>
          <w:rFonts w:ascii="Times New Roman;Times New Roman" w:hAnsi="Times New Roman;Times New Roman" w:eastAsia="Times New Roman;Times New Roman" w:cs="Times New Roman;Times New Roman"/>
          <w:sz w:val="24"/>
          <w:szCs w:val="24"/>
          <w:lang w:eastAsia="ru-RU"/>
        </w:rPr>
      </w:pPr>
      <w:r>
        <w:rPr>
          <w:rFonts w:eastAsia="Times New Roman;Times New Roman" w:cs="Times New Roman;Times New Roman" w:ascii="Times New Roman;Times New Roman" w:hAnsi="Times New Roman;Times New Roman"/>
          <w:sz w:val="24"/>
          <w:szCs w:val="24"/>
          <w:lang w:eastAsia="ru-RU"/>
        </w:rPr>
        <w:t>пойменная грунтовая плотина.</w:t>
      </w:r>
    </w:p>
    <w:p>
      <w:pPr>
        <w:pStyle w:val="BodyText"/>
        <w:numPr>
          <w:ilvl w:val="0"/>
          <w:numId w:val="7"/>
        </w:numPr>
        <w:bidi w:val="0"/>
        <w:spacing w:before="0" w:after="0"/>
        <w:ind w:left="0" w:right="0"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Пойменная земляная плотина расположена между восточной  шлюзовой дамбой и коренным левым берегом долины реки. Длина плотины по гребню 1166 м, ширина 21 м, наибольшая высота - 19 м. Отметка гребня - 112,35...117,05 м. Верховой откос плотины имеет  заложение 1:2,5 в верховой части, 1:4,5 - в средней и 1:12 - в нижней. Верховой откос плотины от гребня до отм.104,66 м. укреплен монолитными железобетонными плитами толщиной 15...40см на слое щебня (1м). Ниже до отм.103,0м откос укреплен наброской щебня слоем 1,0м, до отм.99,0 м наброска щебня слоем 0,3м</w:t>
      </w:r>
      <w:r>
        <w:rPr>
          <w:sz w:val="24"/>
          <w:szCs w:val="24"/>
          <w:lang w:val="ru-RU"/>
        </w:rPr>
        <w:t>/</w:t>
      </w:r>
    </w:p>
    <w:p>
      <w:pPr>
        <w:pStyle w:val="BodyText"/>
        <w:widowControl w:val="false"/>
        <w:numPr>
          <w:ilvl w:val="2"/>
          <w:numId w:val="3"/>
        </w:numPr>
        <w:bidi w:val="0"/>
        <w:spacing w:before="0" w:after="0"/>
        <w:ind w:left="0" w:right="0"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Основные гидрологические характеристики Камского гидроузла</w:t>
      </w:r>
      <w:r>
        <w:rPr>
          <w:sz w:val="24"/>
          <w:szCs w:val="24"/>
          <w:lang w:val="ru-RU" w:eastAsia="ru-RU"/>
        </w:rPr>
        <w:t>:</w:t>
      </w:r>
    </w:p>
    <w:p>
      <w:pPr>
        <w:pStyle w:val="BodyText"/>
        <w:widowControl w:val="false"/>
        <w:numPr>
          <w:ilvl w:val="0"/>
          <w:numId w:val="8"/>
        </w:numPr>
        <w:bidi w:val="0"/>
        <w:spacing w:before="0" w:after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Нормальный подпорный уровень, НПУ</w:t>
      </w:r>
      <w:r>
        <w:rPr>
          <w:sz w:val="24"/>
          <w:szCs w:val="24"/>
          <w:lang w:val="ru-RU" w:eastAsia="ru-RU"/>
        </w:rPr>
        <w:t xml:space="preserve"> - </w:t>
      </w:r>
      <w:r>
        <w:rPr>
          <w:sz w:val="24"/>
          <w:szCs w:val="24"/>
          <w:lang w:eastAsia="ru-RU"/>
        </w:rPr>
        <w:t>108,50</w:t>
      </w:r>
      <w:r>
        <w:rPr>
          <w:sz w:val="24"/>
          <w:szCs w:val="24"/>
          <w:lang w:val="ru-RU" w:eastAsia="ru-RU"/>
        </w:rPr>
        <w:t>м;</w:t>
      </w:r>
    </w:p>
    <w:p>
      <w:pPr>
        <w:pStyle w:val="BodyText"/>
        <w:widowControl w:val="false"/>
        <w:numPr>
          <w:ilvl w:val="0"/>
          <w:numId w:val="8"/>
        </w:numPr>
        <w:bidi w:val="0"/>
        <w:spacing w:before="0" w:after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>Число водосбросов – 24ед;</w:t>
      </w:r>
    </w:p>
    <w:p>
      <w:pPr>
        <w:pStyle w:val="BodyText"/>
        <w:widowControl w:val="false"/>
        <w:numPr>
          <w:ilvl w:val="0"/>
          <w:numId w:val="8"/>
        </w:numPr>
        <w:bidi w:val="0"/>
        <w:spacing w:before="0" w:after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 xml:space="preserve">Пропускная способность одного водосброса - </w:t>
      </w:r>
      <w:r>
        <w:rPr>
          <w:sz w:val="24"/>
          <w:szCs w:val="24"/>
          <w:lang w:eastAsia="ru-RU"/>
        </w:rPr>
        <w:t>740 м3/с</w:t>
      </w:r>
      <w:r>
        <w:rPr>
          <w:sz w:val="24"/>
          <w:szCs w:val="24"/>
          <w:lang w:val="ru-RU" w:eastAsia="ru-RU"/>
        </w:rPr>
        <w:t>;</w:t>
      </w:r>
    </w:p>
    <w:p>
      <w:pPr>
        <w:pStyle w:val="BodyText"/>
        <w:widowControl w:val="false"/>
        <w:numPr>
          <w:ilvl w:val="0"/>
          <w:numId w:val="8"/>
        </w:numPr>
        <w:bidi w:val="0"/>
        <w:spacing w:before="0" w:after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 xml:space="preserve">Средний многолетний расход в нижнем бьефе - </w:t>
      </w:r>
      <w:r>
        <w:rPr>
          <w:sz w:val="24"/>
          <w:szCs w:val="24"/>
          <w:lang w:eastAsia="ru-RU"/>
        </w:rPr>
        <w:t>1700 м3/с</w:t>
      </w:r>
      <w:r>
        <w:rPr>
          <w:sz w:val="24"/>
          <w:szCs w:val="24"/>
          <w:lang w:val="ru-RU" w:eastAsia="ru-RU"/>
        </w:rPr>
        <w:t>;</w:t>
      </w:r>
    </w:p>
    <w:p>
      <w:pPr>
        <w:pStyle w:val="BodyText"/>
        <w:widowControl w:val="false"/>
        <w:numPr>
          <w:ilvl w:val="0"/>
          <w:numId w:val="8"/>
        </w:numPr>
        <w:bidi w:val="0"/>
        <w:spacing w:before="0" w:after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 xml:space="preserve">Максимальный расход </w:t>
      </w:r>
      <w:r>
        <w:rPr>
          <w:sz w:val="24"/>
          <w:szCs w:val="24"/>
          <w:lang w:eastAsia="ru-RU"/>
        </w:rPr>
        <w:t>вероятностью превышения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eastAsia="ru-RU"/>
        </w:rPr>
        <w:t>1%</w:t>
      </w:r>
      <w:r>
        <w:rPr>
          <w:sz w:val="24"/>
          <w:szCs w:val="24"/>
          <w:lang w:val="ru-RU" w:eastAsia="ru-RU"/>
        </w:rPr>
        <w:t xml:space="preserve"> - </w:t>
      </w:r>
      <w:r>
        <w:rPr>
          <w:sz w:val="24"/>
          <w:szCs w:val="24"/>
          <w:lang w:eastAsia="ru-RU"/>
        </w:rPr>
        <w:t>15000 м3/с</w:t>
      </w:r>
      <w:r>
        <w:rPr>
          <w:sz w:val="24"/>
          <w:szCs w:val="24"/>
          <w:lang w:val="ru-RU" w:eastAsia="ru-RU"/>
        </w:rPr>
        <w:t>;</w:t>
      </w:r>
    </w:p>
    <w:p>
      <w:pPr>
        <w:pStyle w:val="BodyText"/>
        <w:widowControl w:val="false"/>
        <w:numPr>
          <w:ilvl w:val="0"/>
          <w:numId w:val="8"/>
        </w:numPr>
        <w:bidi w:val="0"/>
        <w:spacing w:before="0" w:after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Максимальные уров</w:t>
      </w:r>
      <w:r>
        <w:rPr>
          <w:sz w:val="24"/>
          <w:szCs w:val="24"/>
          <w:lang w:val="ru-RU" w:eastAsia="ru-RU"/>
        </w:rPr>
        <w:t>ень</w:t>
      </w:r>
      <w:r>
        <w:rPr>
          <w:sz w:val="24"/>
          <w:szCs w:val="24"/>
          <w:lang w:eastAsia="ru-RU"/>
        </w:rPr>
        <w:t xml:space="preserve"> воды в нижнем бьефе с вероятностью превышения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eastAsia="ru-RU"/>
        </w:rPr>
        <w:t>1%</w:t>
      </w:r>
      <w:r>
        <w:rPr>
          <w:sz w:val="24"/>
          <w:szCs w:val="24"/>
          <w:lang w:val="ru-RU" w:eastAsia="ru-RU"/>
        </w:rPr>
        <w:t xml:space="preserve"> - </w:t>
      </w:r>
      <w:r>
        <w:rPr>
          <w:sz w:val="24"/>
          <w:szCs w:val="24"/>
          <w:lang w:eastAsia="ru-RU"/>
        </w:rPr>
        <w:t>96,87</w:t>
      </w:r>
      <w:r>
        <w:rPr>
          <w:sz w:val="24"/>
          <w:szCs w:val="24"/>
          <w:lang w:val="ru-RU" w:eastAsia="ru-RU"/>
        </w:rPr>
        <w:t>.</w:t>
      </w:r>
    </w:p>
    <w:p>
      <w:pPr>
        <w:pStyle w:val="Normal"/>
        <w:widowControl w:val="false"/>
        <w:numPr>
          <w:ilvl w:val="2"/>
          <w:numId w:val="3"/>
        </w:numPr>
        <w:bidi w:val="0"/>
        <w:spacing w:lineRule="auto" w:line="240" w:before="0" w:after="0"/>
        <w:ind w:left="0" w:right="0" w:firstLine="851"/>
        <w:contextualSpacing/>
        <w:jc w:val="both"/>
        <w:rPr>
          <w:rFonts w:ascii="Times New Roman;Times New Roman" w:hAnsi="Times New Roman;Times New Roman" w:eastAsia="Times New Roman;Times New Roman" w:cs="Times New Roman;Times New Roman"/>
          <w:sz w:val="24"/>
          <w:szCs w:val="24"/>
          <w:lang w:eastAsia="ru-RU"/>
        </w:rPr>
      </w:pPr>
      <w:r>
        <w:rPr>
          <w:rFonts w:eastAsia="Times New Roman;Times New Roman" w:cs="Times New Roman;Times New Roman" w:ascii="Times New Roman;Times New Roman" w:hAnsi="Times New Roman;Times New Roman"/>
          <w:sz w:val="24"/>
          <w:szCs w:val="24"/>
          <w:lang w:eastAsia="ru-RU"/>
        </w:rPr>
        <w:t>На Камской ГЭС действуют автоматизированные уровенные водомерные посты для наблюдения за уровнями воды в бьефах;</w:t>
      </w:r>
    </w:p>
    <w:p>
      <w:pPr>
        <w:pStyle w:val="Normal"/>
        <w:widowControl w:val="false"/>
        <w:numPr>
          <w:ilvl w:val="2"/>
          <w:numId w:val="3"/>
        </w:numPr>
        <w:bidi w:val="0"/>
        <w:spacing w:lineRule="auto" w:line="240" w:before="0" w:after="0"/>
        <w:ind w:left="0" w:right="0" w:firstLine="851"/>
        <w:contextualSpacing/>
        <w:jc w:val="both"/>
        <w:rPr>
          <w:rFonts w:ascii="Times New Roman;Times New Roman" w:hAnsi="Times New Roman;Times New Roman" w:eastAsia="Times New Roman;Times New Roman" w:cs="Times New Roman;Times New Roman"/>
          <w:sz w:val="24"/>
          <w:szCs w:val="24"/>
          <w:lang w:eastAsia="ru-RU"/>
        </w:rPr>
      </w:pPr>
      <w:r>
        <w:rPr>
          <w:rFonts w:eastAsia="Times New Roman;Times New Roman" w:cs="Times New Roman;Times New Roman" w:ascii="Times New Roman;Times New Roman" w:hAnsi="Times New Roman;Times New Roman"/>
          <w:sz w:val="24"/>
          <w:szCs w:val="24"/>
          <w:lang w:eastAsia="ru-RU"/>
        </w:rPr>
        <w:t>Сооружения, подлежащие ПТО обследованию:</w:t>
      </w:r>
    </w:p>
    <w:p>
      <w:pPr>
        <w:pStyle w:val="BodyText"/>
        <w:numPr>
          <w:ilvl w:val="0"/>
          <w:numId w:val="9"/>
        </w:numPr>
        <w:bidi w:val="0"/>
        <w:spacing w:before="0" w:after="120"/>
        <w:ind w:left="0" w:right="0" w:firstLine="851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понур (длина участка 100м, общей площадью  ≈ 41000 м²)</w:t>
      </w:r>
      <w:r>
        <w:rPr>
          <w:sz w:val="24"/>
          <w:szCs w:val="24"/>
          <w:lang w:val="ru-RU"/>
        </w:rPr>
        <w:t>, в том 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ряжевые</w:t>
      </w:r>
      <w:r>
        <w:rPr>
          <w:sz w:val="24"/>
          <w:szCs w:val="24"/>
        </w:rPr>
        <w:t xml:space="preserve"> перемычки</w:t>
      </w:r>
      <w:r>
        <w:rPr>
          <w:sz w:val="24"/>
          <w:szCs w:val="24"/>
          <w:lang w:val="ru-RU"/>
        </w:rPr>
        <w:t xml:space="preserve"> котлована</w:t>
      </w:r>
      <w:r>
        <w:rPr>
          <w:sz w:val="24"/>
          <w:szCs w:val="24"/>
        </w:rPr>
        <w:t>;</w:t>
      </w:r>
    </w:p>
    <w:p>
      <w:pPr>
        <w:pStyle w:val="BodyText"/>
        <w:numPr>
          <w:ilvl w:val="0"/>
          <w:numId w:val="9"/>
        </w:numPr>
        <w:bidi w:val="0"/>
        <w:spacing w:before="0" w:after="120"/>
        <w:ind w:left="0" w:right="0" w:firstLine="851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водобой и рисберма (длина участка 100м общей  площадью ≈ 40000м²); </w:t>
      </w:r>
    </w:p>
    <w:p>
      <w:pPr>
        <w:pStyle w:val="BodyText"/>
        <w:numPr>
          <w:ilvl w:val="0"/>
          <w:numId w:val="9"/>
        </w:numPr>
        <w:bidi w:val="0"/>
        <w:spacing w:before="0" w:after="120"/>
        <w:ind w:left="0" w:right="0" w:firstLine="851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бычки с верхнего и нижнего бьефов (общей площадью ≈ 14956м²);</w:t>
      </w:r>
    </w:p>
    <w:p>
      <w:pPr>
        <w:pStyle w:val="BodyText"/>
        <w:numPr>
          <w:ilvl w:val="0"/>
          <w:numId w:val="9"/>
        </w:numPr>
        <w:bidi w:val="0"/>
        <w:spacing w:before="0" w:after="120"/>
        <w:ind w:left="0" w:right="0" w:firstLine="851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пирсы с раздельными бычками (общей площадью ≈ 2477м²);</w:t>
      </w:r>
    </w:p>
    <w:p>
      <w:pPr>
        <w:pStyle w:val="BodyText"/>
        <w:numPr>
          <w:ilvl w:val="0"/>
          <w:numId w:val="9"/>
        </w:numPr>
        <w:bidi w:val="0"/>
        <w:spacing w:before="0" w:after="120"/>
        <w:ind w:left="0" w:right="0" w:firstLine="851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устои и сопрягающие стенки левобережные, правобережные со стороны верхнего  и нижнего бьефов (общей площадью ≈8000м²);</w:t>
      </w:r>
    </w:p>
    <w:p>
      <w:pPr>
        <w:pStyle w:val="BodyText"/>
        <w:numPr>
          <w:ilvl w:val="0"/>
          <w:numId w:val="9"/>
        </w:numPr>
        <w:bidi w:val="0"/>
        <w:spacing w:before="0" w:after="120"/>
        <w:ind w:left="0" w:right="0" w:firstLine="851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ряж (расположенный на русловой плотине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общей площадью ≈</w:t>
      </w:r>
      <w:r>
        <w:rPr>
          <w:sz w:val="24"/>
          <w:szCs w:val="24"/>
          <w:lang w:val="ru-RU"/>
        </w:rPr>
        <w:t>51</w:t>
      </w:r>
      <w:r>
        <w:rPr>
          <w:sz w:val="24"/>
          <w:szCs w:val="24"/>
        </w:rPr>
        <w:t>000м²);</w:t>
      </w:r>
    </w:p>
    <w:p>
      <w:pPr>
        <w:pStyle w:val="BodyText"/>
        <w:numPr>
          <w:ilvl w:val="0"/>
          <w:numId w:val="9"/>
        </w:numPr>
        <w:bidi w:val="0"/>
        <w:spacing w:before="0" w:after="120"/>
        <w:ind w:left="0" w:right="0" w:firstLine="851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подводные откосы и поверхность неукрепленного русла </w:t>
      </w:r>
      <w:r>
        <w:rPr>
          <w:sz w:val="24"/>
          <w:szCs w:val="24"/>
          <w:lang w:val="ru-RU"/>
        </w:rPr>
        <w:t>отводящего канала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длиной 660м</w:t>
      </w:r>
      <w:r>
        <w:rPr>
          <w:sz w:val="24"/>
          <w:szCs w:val="24"/>
        </w:rPr>
        <w:t>с общей площадью ≈</w:t>
      </w:r>
      <w:r>
        <w:rPr>
          <w:sz w:val="24"/>
          <w:szCs w:val="24"/>
          <w:lang w:val="ru-RU"/>
        </w:rPr>
        <w:t>512362</w:t>
      </w:r>
      <w:r>
        <w:rPr>
          <w:sz w:val="24"/>
          <w:szCs w:val="24"/>
        </w:rPr>
        <w:t>м²</w:t>
      </w:r>
      <w:r>
        <w:rPr>
          <w:sz w:val="24"/>
          <w:szCs w:val="24"/>
          <w:lang w:val="ru-RU"/>
        </w:rPr>
        <w:t>;</w:t>
      </w:r>
    </w:p>
    <w:p>
      <w:pPr>
        <w:pStyle w:val="BodyText"/>
        <w:numPr>
          <w:ilvl w:val="0"/>
          <w:numId w:val="9"/>
        </w:numPr>
        <w:bidi w:val="0"/>
        <w:spacing w:before="0" w:after="120"/>
        <w:ind w:left="0" w:right="0" w:firstLine="851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подводные откосы и поверхность неукрепленного русла </w:t>
      </w:r>
      <w:r>
        <w:rPr>
          <w:sz w:val="24"/>
          <w:szCs w:val="24"/>
          <w:lang w:val="ru-RU"/>
        </w:rPr>
        <w:t xml:space="preserve">подводящего канала длиной 100м </w:t>
      </w:r>
      <w:r>
        <w:rPr>
          <w:sz w:val="24"/>
          <w:szCs w:val="24"/>
        </w:rPr>
        <w:t>с общей площадью ≈</w:t>
      </w:r>
      <w:r>
        <w:rPr>
          <w:sz w:val="24"/>
          <w:szCs w:val="24"/>
          <w:lang w:val="ru-RU"/>
        </w:rPr>
        <w:t>46584</w:t>
      </w:r>
      <w:r>
        <w:rPr>
          <w:sz w:val="24"/>
          <w:szCs w:val="24"/>
        </w:rPr>
        <w:t>м²</w:t>
      </w:r>
      <w:r>
        <w:rPr>
          <w:sz w:val="24"/>
          <w:szCs w:val="24"/>
          <w:lang w:val="ru-RU"/>
        </w:rPr>
        <w:t>;</w:t>
      </w:r>
    </w:p>
    <w:p>
      <w:pPr>
        <w:pStyle w:val="BodyText"/>
        <w:numPr>
          <w:ilvl w:val="0"/>
          <w:numId w:val="9"/>
        </w:numPr>
        <w:bidi w:val="0"/>
        <w:spacing w:before="0" w:after="120"/>
        <w:ind w:left="0" w:right="0" w:firstLine="851"/>
        <w:contextualSpacing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подводная часть верхового откоса русловой плотины </w:t>
      </w:r>
      <w:r>
        <w:rPr>
          <w:sz w:val="24"/>
          <w:szCs w:val="24"/>
        </w:rPr>
        <w:t>≈</w:t>
      </w:r>
      <w:r>
        <w:rPr>
          <w:sz w:val="24"/>
          <w:szCs w:val="24"/>
          <w:lang w:val="ru-RU"/>
        </w:rPr>
        <w:t>43100</w:t>
      </w:r>
      <w:r>
        <w:rPr>
          <w:sz w:val="24"/>
          <w:szCs w:val="24"/>
        </w:rPr>
        <w:t xml:space="preserve"> м²</w:t>
      </w:r>
      <w:r>
        <w:rPr>
          <w:sz w:val="24"/>
          <w:szCs w:val="24"/>
          <w:lang w:val="ru-RU"/>
        </w:rPr>
        <w:t>;</w:t>
      </w:r>
    </w:p>
    <w:p>
      <w:pPr>
        <w:pStyle w:val="BodyText"/>
        <w:numPr>
          <w:ilvl w:val="0"/>
          <w:numId w:val="9"/>
        </w:numPr>
        <w:bidi w:val="0"/>
        <w:spacing w:before="0" w:after="120"/>
        <w:ind w:left="0" w:right="0" w:firstLine="851"/>
        <w:contextualSpacing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подводная часть верхового откоса пойменной плотины </w:t>
      </w:r>
      <w:r>
        <w:rPr>
          <w:sz w:val="24"/>
          <w:szCs w:val="24"/>
        </w:rPr>
        <w:t>≈</w:t>
      </w:r>
      <w:r>
        <w:rPr>
          <w:sz w:val="24"/>
          <w:szCs w:val="24"/>
          <w:lang w:val="ru-RU"/>
        </w:rPr>
        <w:t xml:space="preserve">215000 </w:t>
      </w:r>
      <w:r>
        <w:rPr>
          <w:sz w:val="24"/>
          <w:szCs w:val="24"/>
        </w:rPr>
        <w:t>м²</w:t>
      </w:r>
      <w:r>
        <w:rPr>
          <w:sz w:val="24"/>
          <w:szCs w:val="24"/>
          <w:lang w:val="ru-RU"/>
        </w:rPr>
        <w:t>;</w:t>
      </w:r>
    </w:p>
    <w:p>
      <w:pPr>
        <w:pStyle w:val="BodyText"/>
        <w:numPr>
          <w:ilvl w:val="0"/>
          <w:numId w:val="9"/>
        </w:numPr>
        <w:bidi w:val="0"/>
        <w:spacing w:before="0" w:after="120"/>
        <w:ind w:left="0" w:right="0" w:firstLine="851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надводн</w:t>
      </w:r>
      <w:r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част</w:t>
      </w:r>
      <w:r>
        <w:rPr>
          <w:sz w:val="24"/>
          <w:szCs w:val="24"/>
          <w:lang w:val="ru-RU"/>
        </w:rPr>
        <w:t>ь</w:t>
      </w:r>
      <w:r>
        <w:rPr>
          <w:sz w:val="24"/>
          <w:szCs w:val="24"/>
        </w:rPr>
        <w:t xml:space="preserve"> обследуемых поверхностей (крепления откосов, береговых склонов и отмелей) шириной не менее 50м, </w:t>
      </w:r>
      <w:r>
        <w:rPr>
          <w:sz w:val="24"/>
          <w:szCs w:val="24"/>
          <w:lang w:eastAsia="ru-RU"/>
        </w:rPr>
        <w:t>но захватывающую всю зону затопления, отмели.</w:t>
      </w:r>
      <w:r>
        <w:rPr>
          <w:sz w:val="24"/>
          <w:szCs w:val="24"/>
        </w:rPr>
        <w:t xml:space="preserve"> (общей площадью ≈120950 м²).</w:t>
      </w:r>
    </w:p>
    <w:p>
      <w:pPr>
        <w:pStyle w:val="BodyText"/>
        <w:bidi w:val="0"/>
        <w:spacing w:before="0" w:after="120"/>
        <w:ind w:left="0" w:righ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Объемы работ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ПТО </w:t>
      </w:r>
      <w:r>
        <w:rPr>
          <w:sz w:val="24"/>
          <w:szCs w:val="24"/>
        </w:rPr>
        <w:t>определены при отметке верхнего бьефа 108,5</w:t>
      </w:r>
      <w:r>
        <w:rPr>
          <w:sz w:val="24"/>
          <w:szCs w:val="24"/>
          <w:lang w:val="ru-RU"/>
        </w:rPr>
        <w:t>м</w:t>
      </w:r>
      <w:r>
        <w:rPr>
          <w:sz w:val="24"/>
          <w:szCs w:val="24"/>
        </w:rPr>
        <w:t>, нижнего бьефа 89.0м</w:t>
      </w:r>
      <w:r>
        <w:rPr>
          <w:sz w:val="24"/>
          <w:szCs w:val="24"/>
          <w:lang w:val="ru-RU"/>
        </w:rPr>
        <w:t xml:space="preserve"> (система высот Балтийская). Картограмма производства работ находится в приложении №2.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40" w:before="0" w:after="0"/>
        <w:ind w:left="0" w:right="0" w:hanging="0"/>
        <w:contextualSpacing/>
        <w:jc w:val="both"/>
        <w:rPr/>
      </w:pPr>
      <w:r>
        <w:rPr/>
      </w:r>
    </w:p>
    <w:p>
      <w:pPr>
        <w:pStyle w:val="Normal"/>
        <w:numPr>
          <w:ilvl w:val="1"/>
          <w:numId w:val="3"/>
        </w:numPr>
        <w:bidi w:val="0"/>
        <w:spacing w:lineRule="auto" w:line="240" w:before="0" w:after="0"/>
        <w:ind w:left="0" w:right="0" w:firstLine="851"/>
        <w:jc w:val="both"/>
        <w:rPr>
          <w:rFonts w:ascii="Times New Roman;Times New Roman" w:hAnsi="Times New Roman;Times New Roman" w:cs="Times New Roman;Times New Roman"/>
          <w:sz w:val="24"/>
          <w:szCs w:val="24"/>
        </w:rPr>
      </w:pPr>
      <w:r>
        <w:rPr>
          <w:rFonts w:cs="Times New Roman;Times New Roman" w:ascii="Times New Roman;Times New Roman" w:hAnsi="Times New Roman;Times New Roman"/>
          <w:sz w:val="24"/>
          <w:szCs w:val="24"/>
        </w:rPr>
        <w:t>Основания на оказание услуг: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left="0" w:right="0" w:firstLine="851"/>
        <w:jc w:val="both"/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</w:pPr>
      <w:r>
        <w:rPr>
          <w:rFonts w:cs="Times New Roman;Times New Roman" w:ascii="Times New Roman;Times New Roman" w:hAnsi="Times New Roman;Times New Roman"/>
          <w:color w:val="000000"/>
          <w:sz w:val="24"/>
          <w:szCs w:val="24"/>
        </w:rPr>
        <w:t>"Правила технической эксплуатации электрических станций и  сетей РФ" (утвержденных Приказом Минэнерго РФ от  19.06.2003 № 229), п.3.1.36.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left="0" w:right="0" w:firstLine="851"/>
        <w:jc w:val="both"/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</w:pPr>
      <w:r>
        <w:rPr>
          <w:rFonts w:cs="Times New Roman;Times New Roman" w:ascii="Times New Roman;Times New Roman" w:hAnsi="Times New Roman;Times New Roman"/>
          <w:color w:val="000000"/>
          <w:sz w:val="24"/>
          <w:szCs w:val="24"/>
        </w:rPr>
        <w:t xml:space="preserve">Стандарт организации ПАО "РусГидро" </w:t>
      </w:r>
      <w:r>
        <w:rPr>
          <w:rFonts w:cs="Times New Roman;Times New Roman" w:ascii="Times New Roman;Times New Roman" w:hAnsi="Times New Roman;Times New Roman"/>
          <w:iCs/>
          <w:sz w:val="24"/>
          <w:szCs w:val="24"/>
        </w:rPr>
        <w:t>СТО 02.01.080-2012 «</w:t>
      </w:r>
      <w:r>
        <w:rPr>
          <w:rFonts w:cs="Times New Roman;Times New Roman" w:ascii="Times New Roman;Times New Roman" w:hAnsi="Times New Roman;Times New Roman"/>
          <w:sz w:val="24"/>
          <w:szCs w:val="24"/>
        </w:rPr>
        <w:t>Гидротехнические сооружения ГЭС и ГАЭС. Правила эксплуатации. Нормы и требования», п.5.4.1.10, п.5.4.4.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left="0" w:right="0" w:firstLine="851"/>
        <w:jc w:val="both"/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</w:pPr>
      <w:r>
        <w:rPr>
          <w:rFonts w:eastAsia="Times New Roman;Times New Roman" w:cs="Times New Roman;Times New Roman" w:ascii="Times New Roman;Times New Roman" w:hAnsi="Times New Roman;Times New Roman"/>
          <w:bCs/>
          <w:i w:val="false"/>
          <w:iCs w:val="false"/>
          <w:color w:val="000000"/>
          <w:kern w:val="2"/>
          <w:sz w:val="24"/>
          <w:szCs w:val="24"/>
        </w:rPr>
        <w:t>ГОСТ Р 70750-2023 «Гидроэлектростанции. Гидротехнические сооружения. Подводно-техническое обследование состояния гидротехнических сооружений и примыкающих к ним участков неукрепленного русла»</w:t>
      </w:r>
      <w:r>
        <w:rPr>
          <w:rFonts w:cs="Times New Roman;Times New Roman" w:ascii="Times New Roman;Times New Roman" w:hAnsi="Times New Roman;Times New Roman"/>
          <w:i w:val="false"/>
          <w:iCs w:val="false"/>
          <w:color w:val="000000"/>
          <w:sz w:val="24"/>
          <w:szCs w:val="24"/>
        </w:rPr>
        <w:t>.</w:t>
      </w:r>
      <w:r>
        <w:br w:type="page"/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both"/>
        <w:rPr>
          <w:rFonts w:ascii="Times New Roman;Times New Roman" w:hAnsi="Times New Roman;Times New Roman" w:cs="Times New Roman;Times New Roman"/>
          <w:color w:val="000000"/>
          <w:sz w:val="24"/>
          <w:szCs w:val="24"/>
        </w:rPr>
      </w:pPr>
      <w:r>
        <w:rPr>
          <w:rFonts w:cs="Times New Roman;Times New Roman" w:ascii="Times New Roman;Times New Roman" w:hAnsi="Times New Roman;Times New Roman"/>
          <w:color w:val="000000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cs="Times New Roman;Times New Roman" w:ascii="Times New Roman" w:hAnsi="Times New Roman"/>
          <w:color w:val="000000"/>
          <w:sz w:val="24"/>
          <w:szCs w:val="24"/>
        </w:rPr>
        <w:t>Таблица 1. Перечень выполняемых работ</w:t>
      </w:r>
    </w:p>
    <w:tbl>
      <w:tblPr>
        <w:tblW w:w="500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762"/>
        <w:gridCol w:w="5634"/>
      </w:tblGrid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sz w:val="24"/>
                <w:szCs w:val="24"/>
              </w:rPr>
              <w:t>п/п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sz w:val="24"/>
                <w:szCs w:val="24"/>
              </w:rPr>
              <w:t>Требование Заказчика</w:t>
            </w:r>
          </w:p>
        </w:tc>
      </w:tr>
      <w:tr>
        <w:trPr>
          <w:trHeight w:val="288" w:hRule="atLeast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sz w:val="24"/>
                <w:szCs w:val="24"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sz w:val="24"/>
                <w:szCs w:val="24"/>
              </w:rPr>
              <w:t>2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numPr>
                <w:ilvl w:val="0"/>
                <w:numId w:val="0"/>
              </w:numPr>
              <w:bidi w:val="0"/>
              <w:spacing w:before="0" w:after="200"/>
              <w:ind w:left="0" w:right="0" w:hanging="0"/>
              <w:contextualSpacing/>
              <w:jc w:val="center"/>
              <w:outlineLvl w:val="0"/>
              <w:rPr>
                <w:rFonts w:ascii="Times New Roman;Times New Roman" w:hAnsi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426" w:leader="none"/>
              </w:tabs>
              <w:bidi w:val="0"/>
              <w:spacing w:before="0" w:after="200"/>
              <w:ind w:left="0" w:right="0" w:hanging="0"/>
              <w:contextualSpacing/>
              <w:jc w:val="both"/>
              <w:outlineLvl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sz w:val="24"/>
                <w:szCs w:val="24"/>
              </w:rPr>
              <w:t>Содержание услуг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40" w:before="0" w:after="0"/>
              <w:ind w:left="-107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/>
                <w:bCs/>
                <w:kern w:val="2"/>
                <w:sz w:val="24"/>
                <w:szCs w:val="24"/>
              </w:rPr>
              <w:t>Основные этапы оказания услуг:</w:t>
            </w:r>
          </w:p>
          <w:p>
            <w:pPr>
              <w:pStyle w:val="Style12"/>
              <w:widowControl w:val="false"/>
              <w:bidi w:val="0"/>
              <w:spacing w:lineRule="auto" w:line="240" w:before="0" w:after="0"/>
              <w:ind w:left="341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/>
                <w:bCs/>
                <w:kern w:val="2"/>
                <w:sz w:val="24"/>
                <w:szCs w:val="24"/>
              </w:rPr>
              <w:t xml:space="preserve">Первый этап оказания услуг: 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Сбор, ознакомление, анализ проектной и эксплуатационной документацией и исполнительной документации Филиала, объектами обследования, рекомендациями технических отчетов научно-исследовательских организаций. Для этого Исполнитель может пользоваться техническим архивом Филиала.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Ознакомление с результатами ПТО за предыдущие года.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Оцифровка карт рельефа дна с верхнего и нижнего бьефа при проведении  ПТО за последние 30 лет, с бумажных носителей в формате AutoCAD.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Получение от заказчика координат и отметок пунктов планово-высотной съемочной геодезической сети.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Составление программы проведения обследования с указанием объемов работ и согласование ее с Заказчиком.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Составление проекта производства работ и согласование его с Заказчиком.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Сгущение планово-высотной съемочной геодезической сети методом полигонометрии 2 разряда (при необходимости).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Топографическая съемка надводной части сооружений, береговых склонов и примыканий, ширин  ой не менее 50м от уреза воды, но захватывающую всю зону затопления, отмели.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Производство площадного обследования, включающего в себя: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гидроакустическое площадное обследование поверхности дна, в том числе рекогносцировочный промер (батиметрическая съемка);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гидроакустическое площадное обследование горизонтальных и вертикальных поверхностей (бычков, пирсов, устоев, сопрягающих стенок, ряжа, ряжевых перемычек) (акустическое обследование гидролокаторами бокового обзора);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площадную фото - видеосъемку сопряжений откосов с горизонтальной поверхностью дна;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площадную фото - видеосъемку сопряжений подпорных вертикальных стен сооружений с горизонтальной поверхностью дна;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водолазный осмотр с фото-видеосъемкой выходов закладных и дренажных труб, выходов технологических коммуникаций;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При обнаружении гидроакустическим методом на бетонной поверхности понура, водобоя, рисбермы, бычков, пирсов, сопрягающих стен разрушений и деформаций выполнить дополнительное обследование с применением площадной фото-видеосъемки локальных участков  в местах разрушений и деформаций (с определением объемов разрушения: длина, высота, глубина, отметка, и привязкой к ближайшим строительным конструкциям (секция, стенка, межсекционный шов, и.т.д).</w:t>
            </w:r>
          </w:p>
          <w:p>
            <w:pPr>
              <w:pStyle w:val="Style12"/>
              <w:widowControl w:val="false"/>
              <w:bidi w:val="0"/>
              <w:spacing w:lineRule="auto" w:line="240" w:before="0" w:after="0"/>
              <w:ind w:left="341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/>
                <w:bCs/>
                <w:kern w:val="2"/>
                <w:sz w:val="24"/>
                <w:szCs w:val="24"/>
              </w:rPr>
            </w:r>
          </w:p>
          <w:p>
            <w:pPr>
              <w:pStyle w:val="Style12"/>
              <w:widowControl w:val="false"/>
              <w:bidi w:val="0"/>
              <w:spacing w:lineRule="auto" w:line="240" w:before="0" w:after="0"/>
              <w:ind w:left="341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/>
                <w:bCs/>
                <w:kern w:val="2"/>
                <w:sz w:val="24"/>
                <w:szCs w:val="24"/>
              </w:rPr>
              <w:t>Второй этап оказания услуг: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Камеральная обработка результатов обследования.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Подготовка и представление Заказчику окончательного технического отчета с анализом результатов обследования, рекомендациями по дальнейшим наблюдениям, необходимым ремонтам и оценкой возможности безопасной эксплуатации ГТС до следующего подводно-технического обследования.</w:t>
            </w:r>
          </w:p>
          <w:p>
            <w:pPr>
              <w:pStyle w:val="Style12"/>
              <w:widowControl w:val="false"/>
              <w:tabs>
                <w:tab w:val="clear" w:pos="709"/>
                <w:tab w:val="left" w:pos="34" w:leader="none"/>
                <w:tab w:val="left" w:pos="318" w:leader="none"/>
                <w:tab w:val="left" w:pos="460" w:leader="none"/>
              </w:tabs>
              <w:bidi w:val="0"/>
              <w:spacing w:before="0" w:after="0"/>
              <w:ind w:left="34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numPr>
                <w:ilvl w:val="0"/>
                <w:numId w:val="0"/>
              </w:numPr>
              <w:bidi w:val="0"/>
              <w:spacing w:before="0" w:after="200"/>
              <w:ind w:left="0" w:right="0" w:hanging="0"/>
              <w:contextualSpacing/>
              <w:jc w:val="center"/>
              <w:outlineLvl w:val="0"/>
              <w:rPr>
                <w:rFonts w:ascii="Times New Roman;Times New Roman" w:hAnsi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numPr>
                <w:ilvl w:val="0"/>
                <w:numId w:val="0"/>
              </w:numPr>
              <w:bidi w:val="0"/>
              <w:spacing w:before="0" w:after="200"/>
              <w:ind w:left="0" w:right="0" w:hanging="0"/>
              <w:contextualSpacing/>
              <w:jc w:val="center"/>
              <w:outlineLvl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sz w:val="24"/>
                <w:szCs w:val="24"/>
              </w:rPr>
              <w:t>Результат услуг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По результатам ПТО должен быть выполнен технический отчет. Отчет должен содержать текстовую часть и графические материалы, включая: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 xml:space="preserve">информацию о составе проведённых работ и полученных результатах обследований, методике проведения обследования, сравнительный анализ полученных результатов, выводы о состоянии обследованных объектов и рекомендации по дальнейшим наблюдениям. Должна быть дана оценка динамики развития ранее обнаруженных процессов и выявлены новые изменения в состоянии сооружения и его сопряжения с берегами (береговыми устоями), с верхним и нижним бьефами. Если в период между обследованиями выполнялись ремонтно-восстановительные работы или осуществлялись эксплуатационные мероприятия, направленные на исправление или ослабление негативных изменений в состоянии сооружений, по результатам, проведенного подводно-технического обследования, должна быть оценена их эффективность. 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информацию о применённом оборудовании и его технических характеристиках, программном обеспечении, а также сведения о квалификации специалистов, принимавших участие в проведении обследования и обработке результатов (с приложением подтверждающих документов);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копии паспортов и свидетельств о поверке применённого оборудования;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ситуационный план, конструктивную схему гидроузла;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схему планово-высотного обоснования;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картограмму производства работ, с объемами производства работ;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схему расположения участков площадного акустического обследования и схему галсов;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схему расположения участков площадной фото - видеосъемки, участков водолазного обследования;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 xml:space="preserve">карты рельефа дна предыдущих ПТО в формате </w:t>
            </w: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val="en-US" w:eastAsia="ru-RU"/>
              </w:rPr>
              <w:t>AutoCAD</w:t>
            </w: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 xml:space="preserve"> (за последние 30 лет);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карты рельефа дна настоящего ПТО в масштабе М 1:500 - с горизонталями сечением 0,5м;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карты отклонений отметок дна по результатам выполненного обследования от проектных отметок и от результатов предшествующих обследований 2008 и 2013 годов в масштабе М 1:500, с объемами размыва, намыва грунта;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трехмерная (3</w:t>
            </w: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 xml:space="preserve">-модель) рельефа дна и прилегающих территорий ПТО в формате </w:t>
            </w: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val="en-US" w:eastAsia="ru-RU"/>
              </w:rPr>
              <w:t>AutoCAD</w:t>
            </w: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val="en-US" w:eastAsia="ru-RU"/>
              </w:rPr>
              <w:t>CIVIL</w:t>
            </w: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акустическое изображение горизонтальных и вертикальных поверхностей (бычков, пирсов, устоев, сопрягающих стенок, ряжа, ряжевых перемычек) в масштабе М 1:500;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схемы расположения профилей сечений;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профили (поперечные через 6,0м (ось бычков, середина пролета гидроагрегата) и продольные через 25м), с нанесенными очертаниями предыдущих ПТО;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изображения участков вертикальных (или близких к ним) поверхностей с изолиниями отклонений от проектного очертания;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акустические изображения поверхности подводящего, отводящего каналов, понура, рисбермы, ряжа, ряжевых перемычек и вертикальных бетонных поверхностей;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Развертки вертикальных бетонных поверхностей с дефектами, с привязками.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фотографические планы участков подводной поверхности с отображением обнаруженных разрушений и деформаций, посторонних предметов с указанием их местоположения;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bidi w:val="0"/>
              <w:spacing w:lineRule="auto" w:line="240" w:before="0" w:after="0"/>
              <w:ind w:left="0" w:right="0" w:firstLine="851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  <w:t>дефектные ведомости сооружений подлежащих ПТО, с указанием перечня работ по их устранению и объемами работ.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48" w:leader="none"/>
              </w:tabs>
              <w:bidi w:val="0"/>
              <w:spacing w:before="0" w:after="0"/>
              <w:ind w:left="34" w:right="0" w:hanging="0"/>
              <w:jc w:val="both"/>
              <w:rPr>
                <w:rFonts w:ascii="Times New Roman;Times New Roman" w:hAnsi="Times New Roman;Times New Roman" w:eastAsia="Times New Roman;Times New Roman" w:cs="Times New Roman;Times New Roman"/>
                <w:sz w:val="24"/>
                <w:szCs w:val="24"/>
                <w:lang w:eastAsia="ru-RU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numPr>
                <w:ilvl w:val="0"/>
                <w:numId w:val="0"/>
              </w:numPr>
              <w:bidi w:val="0"/>
              <w:spacing w:before="0" w:after="200"/>
              <w:ind w:left="0" w:right="0" w:hanging="0"/>
              <w:contextualSpacing/>
              <w:jc w:val="center"/>
              <w:outlineLvl w:val="0"/>
              <w:rPr>
                <w:rFonts w:ascii="Times New Roman;Times New Roman" w:hAnsi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numPr>
                <w:ilvl w:val="0"/>
                <w:numId w:val="0"/>
              </w:numPr>
              <w:bidi w:val="0"/>
              <w:spacing w:before="0" w:after="200"/>
              <w:ind w:left="0" w:right="0" w:hanging="0"/>
              <w:contextualSpacing/>
              <w:jc w:val="center"/>
              <w:outlineLvl w:val="0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cs="Times New Roman;Times New Roman" w:ascii="Times New Roman;Times New Roman" w:hAnsi="Times New Roman;Times New Roman"/>
                <w:sz w:val="24"/>
                <w:szCs w:val="24"/>
              </w:rPr>
              <w:t>Требования к точности и достоверности результатов обследования: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Работы по подводно-техническому обследованию гидротехнических сооружений Камской ГЭС выполняются строго в соответствии с требованиями ГОСТ Р 70750-2023 «Гидроэлектростанции. Гидротехнические сооружения. Подводно-техническое обследование состояния гидротехнических сооружений и примыкающих к ним участков неукрепленного русла»;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Получаемые в результате обследования гидроакустическими методами количественные показатели состояния подводных поверхностей конструкций, их элементов, дна и береговых склонов русла должны обеспечивать выявление и фиксацию дефектов, повреждений и деформаций обследуемых поверхностей и всех находящихся на них посторонних предметов, размер которых превышает следующие значения:</w:t>
            </w:r>
          </w:p>
          <w:p>
            <w:pPr>
              <w:pStyle w:val="Style12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- при обследовании состояния поверхностного слоя бетонных конструкций, производимом с целью выявления мест оголения арматуры, кавитационных, абразионных и иных повреждений - 0,05 м;</w:t>
            </w:r>
          </w:p>
          <w:p>
            <w:pPr>
              <w:pStyle w:val="Style12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- при обследовании состояния бетонных поверхностей, в том числе плитных покрытий, производимом с целью выявления деформаций (сдвигов, осадок, выпучивания и т.п.) - 0,15 м;</w:t>
            </w:r>
          </w:p>
          <w:p>
            <w:pPr>
              <w:pStyle w:val="Style12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 xml:space="preserve">- при обследовании состояния подводных откосов грунтовых сооружений и поверхности неукрепленного русла: </w:t>
            </w:r>
          </w:p>
          <w:p>
            <w:pPr>
              <w:pStyle w:val="Style12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глубиной более 25 м - 0,50 м</w:t>
            </w:r>
          </w:p>
          <w:p>
            <w:pPr>
              <w:pStyle w:val="Style12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глубиной менее 25 м - 0,30 м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Подводно-техническое обследование должно проводиться с охватом 100% подводной поверхности сооружений, т.е. без пропусков в пределах заданного участка  при достоверности конечных результатов не ниже 95 % каждым применяемым методом.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 xml:space="preserve">При обследовании  гидроакустическим методом следует использовать специализированные системы совместно со спутниковыми приемниками GPS/Глонасс (Требования к материально-техническим ресурсам Участника согласно п.6 настоящих ТТ); 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 xml:space="preserve">Площадная фото – и видеосъемка должна выполняться  с помощью подводных специализированных комплексов или водолазами (Требования к материально-техническим ресурсам Участника согласно п.6 настоящих ТТ); 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Общая погрешность результатов обследования должна быть не более 0,25 м при доверительной вероятности не менее 95 %;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Для обеспечения полного охвата (100%) обследуемой визуальным методом поверхности должна применяться площадная фото-видеосъемка с выполнением следующих требований:</w:t>
            </w:r>
          </w:p>
          <w:p>
            <w:pPr>
              <w:pStyle w:val="Style12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- масштаб всех снимков (изображений) должен быть одинаковым на всем обследуемом участке;</w:t>
            </w:r>
          </w:p>
          <w:p>
            <w:pPr>
              <w:pStyle w:val="Style12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- перекрытие снимков должно быть не менее 25-30%;</w:t>
            </w:r>
          </w:p>
          <w:p>
            <w:pPr>
              <w:pStyle w:val="Style12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- на каждом снимке должны присутствовать элементы, по которым можно осуществлять привязку к снимкам соседних участков.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Для выполнения этих требований съемку всех участков необходимо производить с одного и того же расстояния; направления съемки должны быть перпендикулярными к центру обследуемой поверхности; каждый участок, не имеющий хорошо видимых элементов привязки к соседним участкам, должен быть снабжен таковыми.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Регистрация положения уровня воды при проведении съемки должна осуществляться непрерывно по двум водомерным постам на границах обследуемой зоны (участка) акватории или с использованием спутниковой геодезической аппаратурой;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Точность измерения уровня воды не ниже 0,01 м;</w:t>
            </w:r>
          </w:p>
          <w:p>
            <w:pPr>
              <w:pStyle w:val="Style12"/>
              <w:widowControl w:val="false"/>
              <w:numPr>
                <w:ilvl w:val="0"/>
                <w:numId w:val="10"/>
              </w:numPr>
              <w:bidi w:val="0"/>
              <w:spacing w:lineRule="auto" w:line="240" w:before="0" w:after="0"/>
              <w:ind w:left="-107" w:right="0" w:firstLine="448"/>
              <w:contextualSpacing/>
              <w:jc w:val="both"/>
              <w:rPr>
                <w:rFonts w:ascii="Times New Roman;Times New Roman" w:hAnsi="Times New Roman;Times New Roman" w:eastAsia="Times New Roman;Times New Roman" w:cs="Times New Roman;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Cs/>
                <w:kern w:val="2"/>
                <w:sz w:val="24"/>
                <w:szCs w:val="24"/>
              </w:rPr>
              <w:t>Применяемая при обследовании и составлении отчета система высот – Балтийская, система координат – местная (г. Пермь);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  <w:r>
        <w:br w:type="page"/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;Times New Roman" w:hAnsi="Times New Roman;Times New Roman" w:cs="Times New Roman;Times New Roman"/>
          <w:sz w:val="24"/>
          <w:szCs w:val="24"/>
        </w:rPr>
      </w:pPr>
      <w:r>
        <w:rPr>
          <w:rFonts w:cs="Times New Roman;Times New Roman" w:ascii="Times New Roman;Times New Roman" w:hAnsi="Times New Roman;Times New Roman"/>
          <w:sz w:val="24"/>
          <w:szCs w:val="24"/>
        </w:rPr>
        <w:t>Приложение к Техническому заданию</w:t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;Times New Roman" w:hAnsi="Times New Roman;Times New Roman" w:cs="Times New Roman;Times New Roman"/>
          <w:sz w:val="24"/>
          <w:szCs w:val="24"/>
        </w:rPr>
      </w:pPr>
      <w:r>
        <w:rPr>
          <w:rFonts w:cs="Times New Roman;Times New Roman" w:ascii="Times New Roman;Times New Roman" w:hAnsi="Times New Roman;Times New Roman"/>
          <w:sz w:val="24"/>
          <w:szCs w:val="24"/>
        </w:rPr>
        <w:t xml:space="preserve">на Подводно-техническое обследование </w:t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;Times New Roman" w:hAnsi="Times New Roman;Times New Roman" w:cs="Times New Roman;Times New Roman"/>
          <w:sz w:val="24"/>
          <w:szCs w:val="24"/>
        </w:rPr>
      </w:pPr>
      <w:r>
        <w:rPr>
          <w:rFonts w:cs="Times New Roman;Times New Roman" w:ascii="Times New Roman;Times New Roman" w:hAnsi="Times New Roman;Times New Roman"/>
          <w:sz w:val="24"/>
          <w:szCs w:val="24"/>
        </w:rPr>
        <w:t xml:space="preserve">гидротехнических сооружений филиала </w:t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;Times New Roman" w:hAnsi="Times New Roman;Times New Roman" w:cs="Times New Roman;Times New Roman"/>
          <w:sz w:val="24"/>
          <w:szCs w:val="24"/>
        </w:rPr>
      </w:pPr>
      <w:r>
        <w:rPr>
          <w:rFonts w:cs="Times New Roman;Times New Roman" w:ascii="Times New Roman;Times New Roman" w:hAnsi="Times New Roman;Times New Roman"/>
          <w:sz w:val="24"/>
          <w:szCs w:val="24"/>
        </w:rPr>
        <w:t>ПАО "РусГидро"-"Камская ГЭС"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;Times New Roman" w:hAnsi="Times New Roman;Times New Roman" w:cs="Times New Roman;Times New Roman"/>
          <w:sz w:val="24"/>
          <w:szCs w:val="24"/>
        </w:rPr>
      </w:pPr>
      <w:r>
        <w:rPr>
          <w:rFonts w:cs="Times New Roman;Times New Roman" w:ascii="Times New Roman;Times New Roman" w:hAnsi="Times New Roman;Times New Roman"/>
          <w:sz w:val="28"/>
          <w:szCs w:val="28"/>
        </w:rPr>
        <w:t>СХЕМА ПРОИЗВОДСТВА РАБОТ</w:t>
      </w:r>
    </w:p>
    <w:p>
      <w:pPr>
        <w:sectPr>
          <w:footerReference w:type="default" r:id="rId3"/>
          <w:type w:val="nextPage"/>
          <w:pgSz w:orient="landscape" w:w="16838" w:h="11906"/>
          <w:pgMar w:left="567" w:right="678" w:gutter="0" w:header="0" w:top="1797" w:footer="720" w:bottom="777"/>
          <w:pgNumType w:fmt="decimal"/>
          <w:formProt w:val="false"/>
          <w:textDirection w:val="lrTb"/>
          <w:docGrid w:type="default" w:linePitch="299" w:charSpace="11877"/>
        </w:sectPr>
        <w:pStyle w:val="Normal"/>
        <w:bidi w:val="0"/>
        <w:spacing w:before="0" w:after="57"/>
        <w:jc w:val="right"/>
        <w:rPr>
          <w:rFonts w:ascii="Times New Roman" w:hAnsi="Times New Roman"/>
        </w:rPr>
      </w:pPr>
      <w:r>
        <w:rPr/>
        <w:drawing>
          <wp:inline distT="0" distB="0" distL="0" distR="0">
            <wp:extent cx="8599805" cy="45853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793" t="5665" r="373" b="1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805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before="0" w:after="57"/>
        <w:jc w:val="right"/>
        <w:rPr>
          <w:rFonts w:ascii="Times New Roman" w:hAnsi="Times New Roman"/>
        </w:rPr>
      </w:pPr>
      <w:r>
        <w:rPr/>
      </w:r>
    </w:p>
    <w:sectPr>
      <w:footerReference w:type="default" r:id="rId4"/>
      <w:footerReference w:type="first" r:id="rId5"/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240" w:before="0" w:after="0"/>
      <w:jc w:val="left"/>
      <w:rPr/>
    </w:pPr>
    <w:r>
      <w:rPr>
        <w:color w:val="C0C0C0"/>
        <w:sz w:val="16"/>
      </w:rPr>
      <w:t xml:space="preserve">Данный документ из электронных библиотек ЗАО "Современные информационные услуги" - </w:t>
    </w:r>
    <w:hyperlink r:id="rId1">
      <w:r>
        <w:rPr>
          <w:rStyle w:val="Hyperlink"/>
          <w:color w:val="C0C0C0"/>
          <w:sz w:val="16"/>
        </w:rPr>
        <w:t>http://www.snti.ru/</w:t>
      </w:r>
    </w:hyperlink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4"/>
        </w:tabs>
        <w:ind w:left="0" w:hanging="0"/>
      </w:pPr>
      <w:rPr>
        <w:sz w:val="24"/>
        <w:i w:val="false"/>
        <w:b/>
        <w:szCs w:val="24"/>
        <w:rFonts w:ascii="Times New Roman;Times New Roman" w:hAnsi="Times New Roman;Times New Roman" w:cs="Times New Roman;Times New Roman"/>
        <w:color w:val="00000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6" w:firstLine="284"/>
      </w:pPr>
      <w:rPr>
        <w:sz w:val="24"/>
        <w:b w:val="false"/>
        <w:szCs w:val="24"/>
        <w:rFonts w:ascii="Times New Roman;Times New Roman" w:hAnsi="Times New Roman;Times New Roman" w:cs="Times New Roman;Times New Roman"/>
        <w:color w:val="000000"/>
        <w:lang w:val="ru-RU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510" w:firstLine="510"/>
      </w:pPr>
      <w:rPr>
        <w:i w:val="false"/>
        <w:b w:val="false"/>
        <w:rFonts w:ascii="Times New Roman" w:hAnsi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9" w:firstLine="737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357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2" w:hanging="357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35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56" w:hanging="357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13" w:hanging="357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63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170" w:leader="none"/>
      </w:tabs>
      <w:overflowPunct w:val="false"/>
      <w:spacing w:before="113" w:after="0"/>
      <w:ind w:left="170" w:right="0" w:hanging="0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ind w:left="170" w:right="0" w:hanging="0"/>
      <w:outlineLvl w:val="3"/>
    </w:pPr>
    <w:rPr>
      <w:bCs/>
    </w:rPr>
  </w:style>
  <w:style w:type="character" w:styleId="Style7">
    <w:name w:val="Символ нумерации"/>
    <w:qFormat/>
    <w:rPr/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6z0">
    <w:name w:val="WW8Num16z0"/>
    <w:qFormat/>
    <w:rPr>
      <w:rFonts w:ascii="Times New Roman;Times New Roman" w:hAnsi="Times New Roman;Times New Roman" w:cs="Times New Roman;Times New Roman"/>
      <w:b/>
      <w:i w:val="false"/>
      <w:color w:val="000000"/>
      <w:sz w:val="24"/>
      <w:szCs w:val="24"/>
    </w:rPr>
  </w:style>
  <w:style w:type="character" w:styleId="WW8Num16z1">
    <w:name w:val="WW8Num16z1"/>
    <w:qFormat/>
    <w:rPr>
      <w:rFonts w:ascii="Times New Roman;Times New Roman" w:hAnsi="Times New Roman;Times New Roman" w:cs="Times New Roman;Times New Roman"/>
      <w:b w:val="false"/>
      <w:color w:val="000000"/>
      <w:sz w:val="24"/>
      <w:szCs w:val="24"/>
      <w:lang w:val="ru-RU"/>
    </w:rPr>
  </w:style>
  <w:style w:type="character" w:styleId="WW8Num16z2">
    <w:name w:val="WW8Num16z2"/>
    <w:qFormat/>
    <w:rPr>
      <w:rFonts w:ascii="Times New Roman" w:hAnsi="Times New Roman"/>
      <w:b w:val="false"/>
      <w:i w:val="false"/>
    </w:rPr>
  </w:style>
  <w:style w:type="character" w:styleId="WW8Num16z3">
    <w:name w:val="WW8Num16z3"/>
    <w:qFormat/>
    <w:rPr/>
  </w:style>
  <w:style w:type="character" w:styleId="WW8Num30z0">
    <w:name w:val="WW8Num30z0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17z0">
    <w:name w:val="WW8Num17z0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5z0">
    <w:name w:val="WW8Num15z0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yle9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sz w:val="28"/>
      <w:szCs w:val="28"/>
    </w:rPr>
  </w:style>
  <w:style w:type="paragraph" w:styleId="Style12">
    <w:name w:val="Абзац списка"/>
    <w:basedOn w:val="Normal"/>
    <w:qFormat/>
    <w:pPr>
      <w:spacing w:before="0" w:after="200"/>
      <w:ind w:left="720" w:right="0" w:hanging="0"/>
      <w:contextualSpacing/>
    </w:pPr>
    <w:rPr>
      <w:rFonts w:ascii="Calibri" w:hAnsi="Calibri" w:eastAsia="Calibri" w:cs="Times New Roman;Times New Roman"/>
    </w:rPr>
  </w:style>
  <w:style w:type="paragraph" w:styleId="Style1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;Times New Roman" w:hAnsi="Times New Roman;Times New Roman" w:eastAsia="Times New Roman;Times New Roman" w:cs="Times New Roman;Times New Roman"/>
      <w:sz w:val="20"/>
      <w:szCs w:val="20"/>
    </w:rPr>
  </w:style>
  <w:style w:type="paragraph" w:styleId="Style14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WW8Num9">
    <w:name w:val="WW8Num9"/>
    <w:qFormat/>
  </w:style>
  <w:style w:type="numbering" w:styleId="WW8Num16">
    <w:name w:val="WW8Num16"/>
    <w:qFormat/>
  </w:style>
  <w:style w:type="numbering" w:styleId="WW8Num30">
    <w:name w:val="WW8Num30"/>
    <w:qFormat/>
  </w:style>
  <w:style w:type="numbering" w:styleId="WW8Num17">
    <w:name w:val="WW8Num17"/>
    <w:qFormat/>
  </w:style>
  <w:style w:type="numbering" w:styleId="WW8Num15">
    <w:name w:val="WW8Num15"/>
    <w:qFormat/>
  </w:style>
  <w:style w:type="numbering" w:styleId="WW8Num5">
    <w:name w:val="WW8Num5"/>
    <w:qFormat/>
  </w:style>
  <w:style w:type="numbering" w:styleId="WW8Num26">
    <w:name w:val="WW8Num26"/>
    <w:qFormat/>
  </w:style>
  <w:style w:type="numbering" w:styleId="WW8Num6">
    <w:name w:val="WW8Num6"/>
    <w:qFormat/>
  </w:style>
  <w:style w:type="numbering" w:styleId="WW8Num29">
    <w:name w:val="WW8Num29"/>
    <w:qFormat/>
  </w:style>
  <w:style w:type="numbering" w:styleId="WW8Num33">
    <w:name w:val="WW8Num3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snti.ru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AlterOffice/3.4.0.9$Linux_X86_64 LibreOffice_project/b8daf9e823b1a5463a2f48435ddc2e8696e7d4fc</Application>
  <AppVersion>15.0000</AppVersion>
  <Pages>10</Pages>
  <Words>2257</Words>
  <Characters>15191</Characters>
  <CharactersWithSpaces>17223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2022-10-25T10:56:57Z</dcterms:created>
  <dc:creator/>
  <dc:description/>
  <dc:language>ru-RU</dc:language>
  <cp:lastModifiedBy>palekhovaa@corp.gidroogk.com</cp:lastModifiedBy>
  <dcterms:modified xsi:type="dcterms:W3CDTF">2026-05-15T14:01:52Z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