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4"/>
        <w:gridCol w:w="4939"/>
      </w:tblGrid>
      <w:tr>
        <w:trPr/>
        <w:tc>
          <w:tcPr>
            <w:tcW w:w="45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9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И.о. д</w:t>
            </w:r>
            <w:r>
              <w:rPr/>
              <w:t>иректор</w:t>
            </w:r>
            <w:r>
              <w:rPr/>
              <w:t xml:space="preserve">а </w:t>
            </w:r>
            <w:r>
              <w:rPr/>
              <w:t>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__________________ </w:t>
            </w:r>
            <w:r>
              <w:rPr/>
              <w:t>О.Н. Захаров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b/>
          <w:bCs/>
        </w:rPr>
        <w:t>закупки в электронной форме по</w:t>
      </w:r>
      <w:r>
        <w:rPr>
          <w:rFonts w:cs="Calibri" w:cstheme="minorHAnsi"/>
          <w:b/>
          <w:bCs/>
          <w:kern w:val="2"/>
          <w:lang w:eastAsia="ru-RU"/>
        </w:rPr>
        <w:t xml:space="preserve"> «ОКПД2 49.41.15.000 Оказание услуг самосвальной техникой для перевозки строительных материалов для нужд Загорского строительного участка Центрального филиала АО "ТК РусГидро"</w:t>
      </w:r>
      <w:r>
        <w:rPr>
          <w:rFonts w:cs="Calibri" w:cstheme="minorHAnsi"/>
          <w:b/>
          <w:bCs/>
          <w:kern w:val="2"/>
          <w:lang w:eastAsia="ru-RU"/>
        </w:rPr>
        <w:t>»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rFonts w:cs="Calibri" w:cstheme="minorHAnsi"/>
          <w:b/>
          <w:bCs/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«ОКПД2 49.41.15.000 Оказание услуг самосвальной техникой для перевозки строительных материалов для нужд Загорского строительного участка Центрального филиала АО "ТК РусГидро".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услуг,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21.06</w:t>
      </w:r>
      <w:r>
        <w:rPr>
          <w:rFonts w:eastAsia="Calibri"/>
        </w:rPr>
        <w:t>.2026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7. Предложения должны быть направлены в виде сканированной электронной копии на ЭТП АО «Российский аукционный дом</w:t>
      </w:r>
      <w:bookmarkStart w:id="0" w:name="_GoBack"/>
      <w:bookmarkEnd w:id="0"/>
      <w:r>
        <w:rPr>
          <w:rFonts w:eastAsia="Calibri"/>
        </w:rPr>
        <w:t>» https://tender.lot-online.ru/.</w:t>
      </w:r>
    </w:p>
    <w:p>
      <w:pPr>
        <w:pStyle w:val="Normal"/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 xml:space="preserve">2. </w:t>
      </w:r>
      <w:r>
        <w:rPr/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1" w:name="_GoBack_Копия_1"/>
      <w:bookmarkStart w:id="2" w:name="_GoBack_Копия_1"/>
      <w:bookmarkEnd w:id="2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11" w:customStyle="1">
    <w:name w:val="caption11111"/>
    <w:basedOn w:val="Normal"/>
    <w:next w:val="Normal"/>
    <w:qFormat/>
    <w:rsid w:val="00ab7d31"/>
    <w:pPr>
      <w:widowControl w:val="false"/>
      <w:suppressAutoHyphens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9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325C-DD80-425B-8A2B-77FB36C4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AlterOffice/3.4.0.9$Linux_X86_64 LibreOffice_project/b8daf9e823b1a5463a2f48435ddc2e8696e7d4fc</Application>
  <AppVersion>15.0000</AppVersion>
  <Pages>2</Pages>
  <Words>481</Words>
  <Characters>3377</Characters>
  <CharactersWithSpaces>3944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2025-12-11T13:40:00Z</cp:lastPrinted>
  <dcterms:modified xsi:type="dcterms:W3CDTF">2026-05-18T15:59:55Z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