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center"/>
        <w:spacing w:before="411" w:after="274" w:line="343" w:lineRule="atLeas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bottom w:val="single" w:color="000000" w:sz="12" w:space="1"/>
        </w:pBd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Обоснование начальной (максимальной) цены договора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343" w:lineRule="atLeas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bottom w:val="single" w:color="000000" w:sz="12" w:space="1"/>
        </w:pBd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Техническое обслуживание и перезарядка огнетушителей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нужд Южных электрических сетей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филиала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ПАО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Московский регион»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2026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center"/>
        <w:spacing w:after="0" w:line="343" w:lineRule="atLeas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(указывается предмет закупки)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r>
    </w:p>
    <w:tbl>
      <w:tblPr>
        <w:tblW w:w="5000" w:type="pct"/>
        <w:jc w:val="center"/>
        <w:tblBorders>
          <w:top w:val="single" w:color="DADADA" w:sz="6" w:space="0"/>
          <w:left w:val="single" w:color="DADADA" w:sz="6" w:space="0"/>
          <w:bottom w:val="single" w:color="DADADA" w:sz="6" w:space="0"/>
          <w:right w:val="single" w:color="DADADA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65"/>
        <w:gridCol w:w="4774"/>
      </w:tblGrid>
      <w:tr>
        <w:tblPrEx/>
        <w:trPr>
          <w:jc w:val="center"/>
        </w:trPr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409 510,00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без  НДС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22%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499 602,20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  НДС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22%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Используемый метод определения начальной (максимальной) цены договора  с обоснованием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Метод сопоставимых рыночных цен (анализа рынка)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hyperlink r:id="rId11" w:tooltip="https://rossetimr.ru/zakupki/prav_obesp/2021/2021-29-06-prikaz-479.zip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Приказ №479 от 18.05.2021 г. 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«Об утверждении Инструкции по прохождению ценового контроля, формированию и согласованию начальной (максимальной) цены лота по операционной деятельности Общества в новой редакции»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hyperlink r:id="rId12" w:tooltip="https://rossetimr.ru/zakupki/prav_obesp/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https://rossetimr.ru/zakupki/prav_obesp/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DADADA" w:sz="6" w:space="0"/>
              <w:left w:val="single" w:color="DADADA" w:sz="6" w:space="0"/>
              <w:bottom w:val="single" w:color="DADADA" w:sz="6" w:space="0"/>
              <w:right w:val="single" w:color="DADADA" w:sz="6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cW w:w="2500" w:type="pct"/>
            <w:textDirection w:val="lrTb"/>
            <w:noWrap w:val="false"/>
          </w:tcPr>
          <w:p>
            <w:pPr>
              <w:spacing w:after="30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Представлен отдельным файлом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851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953"/>
        <w:ind w:right="3402" w:firstLine="0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5"/>
        <w:jc w:val="center"/>
        <w:spacing w:after="0"/>
        <w:tabs>
          <w:tab w:val="left" w:pos="1134" w:leader="none"/>
          <w:tab w:val="left" w:pos="1680" w:leader="none"/>
        </w:tabs>
        <w:rPr>
          <w:b/>
          <w:sz w:val="28"/>
          <w:szCs w:val="28"/>
        </w:rPr>
      </w:pPr>
      <w:r/>
      <w:bookmarkStart w:id="0" w:name="_Toc478632342"/>
      <w:r/>
      <w:bookmarkStart w:id="1" w:name="_Toc481653523"/>
      <w:r>
        <w:rPr>
          <w:b/>
          <w:sz w:val="28"/>
          <w:szCs w:val="28"/>
        </w:rPr>
        <w:t xml:space="preserve">Расчет начальной (плановой) стоимости  закупки</w:t>
      </w:r>
      <w:bookmarkEnd w:id="0"/>
      <w:r/>
      <w:bookmarkEnd w:id="1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5"/>
        <w:jc w:val="center"/>
        <w:spacing w:after="0"/>
        <w:tabs>
          <w:tab w:val="left" w:pos="1134" w:leader="none"/>
          <w:tab w:val="left" w:pos="168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23" w:type="dxa"/>
        <w:tblInd w:w="-490" w:type="dxa"/>
        <w:tblLayout w:type="fixed"/>
        <w:tblLook w:val="04A0" w:firstRow="1" w:lastRow="0" w:firstColumn="1" w:lastColumn="0" w:noHBand="0" w:noVBand="1"/>
      </w:tblPr>
      <w:tblGrid>
        <w:gridCol w:w="735"/>
        <w:gridCol w:w="2934"/>
        <w:gridCol w:w="2480"/>
        <w:gridCol w:w="1756"/>
        <w:gridCol w:w="1718"/>
      </w:tblGrid>
      <w:tr>
        <w:tblPrEx/>
        <w:trPr>
          <w:trHeight w:val="13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закупаемой услуги/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менование поставщика /подрядчика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по ТКП, или прайс-листу, или мониторингу рынка, тыс. руб. без НДС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Расчетная цена закупки на основе анализа  стоимости, тыс. руб. без НДС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7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перезарядка огнетушителей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для нужд Южных электрических сетей - филиала  ПАО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Московский регион»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Контрагент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409510,00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409510,00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7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W w:w="29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Контрагент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446526,00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6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Контрагент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437250,00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Наименьшее значение по строкам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409510,00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-1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tabs>
          <w:tab w:val="left" w:pos="-10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-108" w:leader="none"/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-10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6281251"/>
      <w:docPartObj>
        <w:docPartGallery w:val="Page Numbers (Bottom of Page)"/>
        <w:docPartUnique w:val="true"/>
      </w:docPartObj>
      <w:rPr/>
    </w:sdtPr>
    <w:sdtContent>
      <w:p>
        <w:pPr>
          <w:pStyle w:val="932"/>
        </w:pPr>
        <w:r>
          <w:rPr>
            <w:lang w:eastAsia="ru-RU"/>
          </w:rP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1" name="Группа 3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0" name="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 xml:space="preserve"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/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GrpSpPr/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" name=""/>
                            <wps:cNvSpPr/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0" o:spid="_x0000_s0000" style="position:absolute;z-index:251659264;o:allowoverlap:true;o:allowincell:true;mso-position-horizontal-relative:page;mso-position-horizontal:center;mso-position-vertical-relative:bottom-margin-area;mso-position-vertical:center;width:612.75pt;height:15.00pt;mso-wrap-distance-left:9.00pt;mso-wrap-distance-top:0.00pt;mso-wrap-distance-right:9.00pt;mso-wrap-distance-bottom:0.00pt;" coordorigin="0,149" coordsize="122,3">
                  <v:shape id="shape 1" o:spid="_x0000_s1" o:spt="202" type="#_x0000_t202" style="position:absolute;left:7;top:149;width:6;height:2;v-text-anchor:top;visibility:visible;" filled="f">
                    <v:textbox inset="0,0,0,0">
                      <w:txbxContent>
                        <w:p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 xml:space="preserve"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/>
                        </w:p>
                      </w:txbxContent>
                    </v:textbox>
                  </v:shape>
                  <v:group id="group 2" o:spid="_x0000_s0000" style="position:absolute;left:0;top:149;width:122;height:2;" coordorigin="0,149" coordsize="122,2">
                    <v:shape id="shape 3" o:spid="_x0000_s3" o:spt="34" type="#_x0000_t34" style="position:absolute;left:0;top:149;width:12;height:2;flip:y;visibility:visible;" filled="f" strokecolor="#A5A5A5" strokeweight="0.75pt"/>
                    <v:shape id="shape 4" o:spid="_x0000_s4" o:spt="34" type="#_x0000_t34" style="position:absolute;left:12;top:149;width:109;height:2;rotation:180;visibility:visible;" filled="f" strokecolor="#A5A5A5" strokeweight="0.75pt"/>
                  </v:group>
                </v:group>
              </w:pict>
            </mc:Fallback>
          </mc:AlternateContent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6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cs="Times New Roman"/>
        <w:b w:val="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9"/>
      </w:pPr>
      <w:rPr>
        <w:rFonts w:hint="default" w:ascii="Times New Roman" w:hAnsi="Times New Roman" w:eastAsia="Calibri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852"/>
      </w:pPr>
      <w:rPr>
        <w:rFonts w:hint="default" w:ascii="Times New Roman" w:hAnsi="Times New Roman" w:eastAsia="Calibri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russianLower"/>
      <w:isLgl w:val="false"/>
      <w:suff w:val="tab"/>
      <w:lvlText w:val="%3)"/>
      <w:lvlJc w:val="left"/>
      <w:pPr>
        <w:ind w:left="1970"/>
      </w:pPr>
      <w:rPr>
        <w:rFonts w:hint="default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russianLower"/>
      <w:isLgl w:val="false"/>
      <w:suff w:val="tab"/>
      <w:lvlText w:val="%3)"/>
      <w:lvlJc w:val="left"/>
      <w:pPr>
        <w:ind w:left="1429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isLgl w:val="false"/>
      <w:suff w:val="tab"/>
      <w:lvlText w:val="%3)"/>
      <w:lvlJc w:val="left"/>
      <w:pPr>
        <w:ind w:left="3274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/>
      </w:rPr>
    </w:lvl>
  </w:abstractNum>
  <w:abstractNum w:abstractNumId="1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9"/>
      </w:pPr>
      <w:rPr>
        <w:rFonts w:hint="default" w:ascii="Times New Roman" w:hAnsi="Times New Roman" w:eastAsia="Calibri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852"/>
      </w:pPr>
      <w:rPr>
        <w:rFonts w:hint="default" w:ascii="Times New Roman" w:hAnsi="Times New Roman" w:eastAsia="Calibri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1970"/>
      </w:pPr>
      <w:rPr>
        <w:rFonts w:hint="default" w:ascii="Times New Roman" w:hAnsi="Times New Roman" w:eastAsia="Calibri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3"/>
  </w:num>
  <w:num w:numId="5">
    <w:abstractNumId w:val="13"/>
  </w:num>
  <w:num w:numId="6">
    <w:abstractNumId w:val="1"/>
  </w:num>
  <w:num w:numId="7">
    <w:abstractNumId w:val="10"/>
  </w:num>
  <w:num w:numId="8">
    <w:abstractNumId w:val="16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26"/>
    <w:next w:val="926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basedOn w:val="927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26"/>
    <w:next w:val="926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basedOn w:val="927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6"/>
    <w:next w:val="926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7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6"/>
    <w:next w:val="926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7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6"/>
    <w:next w:val="926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7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6"/>
    <w:next w:val="926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7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6"/>
    <w:next w:val="926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7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6"/>
    <w:next w:val="926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7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6"/>
    <w:next w:val="926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7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26"/>
    <w:next w:val="926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basedOn w:val="927"/>
    <w:link w:val="774"/>
    <w:uiPriority w:val="10"/>
    <w:rPr>
      <w:sz w:val="48"/>
      <w:szCs w:val="48"/>
    </w:rPr>
  </w:style>
  <w:style w:type="paragraph" w:styleId="776">
    <w:name w:val="Subtitle"/>
    <w:basedOn w:val="926"/>
    <w:next w:val="926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basedOn w:val="927"/>
    <w:link w:val="776"/>
    <w:uiPriority w:val="11"/>
    <w:rPr>
      <w:sz w:val="24"/>
      <w:szCs w:val="24"/>
    </w:rPr>
  </w:style>
  <w:style w:type="paragraph" w:styleId="778">
    <w:name w:val="Quote"/>
    <w:basedOn w:val="926"/>
    <w:next w:val="926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26"/>
    <w:next w:val="926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character" w:styleId="782">
    <w:name w:val="Header Char"/>
    <w:basedOn w:val="927"/>
    <w:link w:val="936"/>
    <w:uiPriority w:val="99"/>
  </w:style>
  <w:style w:type="character" w:styleId="783">
    <w:name w:val="Footer Char"/>
    <w:basedOn w:val="927"/>
    <w:link w:val="932"/>
    <w:uiPriority w:val="99"/>
  </w:style>
  <w:style w:type="character" w:styleId="784">
    <w:name w:val="Caption Char"/>
    <w:basedOn w:val="951"/>
    <w:link w:val="932"/>
    <w:uiPriority w:val="99"/>
  </w:style>
  <w:style w:type="table" w:styleId="785">
    <w:name w:val="Table Grid"/>
    <w:basedOn w:val="9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Table Grid Light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Footnote Text Char"/>
    <w:link w:val="948"/>
    <w:uiPriority w:val="99"/>
    <w:rPr>
      <w:sz w:val="18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27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</w:style>
  <w:style w:type="character" w:styleId="927" w:default="1">
    <w:name w:val="Default Paragraph Font"/>
    <w:uiPriority w:val="1"/>
    <w:semiHidden/>
    <w:unhideWhenUsed/>
  </w:style>
  <w:style w:type="table" w:styleId="9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9" w:default="1">
    <w:name w:val="No List"/>
    <w:uiPriority w:val="99"/>
    <w:semiHidden/>
    <w:unhideWhenUsed/>
  </w:style>
  <w:style w:type="paragraph" w:styleId="93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3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32">
    <w:name w:val="Footer"/>
    <w:basedOn w:val="926"/>
    <w:link w:val="9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927"/>
    <w:link w:val="932"/>
    <w:uiPriority w:val="99"/>
  </w:style>
  <w:style w:type="paragraph" w:styleId="934">
    <w:name w:val="List Paragraph"/>
    <w:basedOn w:val="926"/>
    <w:uiPriority w:val="34"/>
    <w:qFormat/>
    <w:pPr>
      <w:contextualSpacing/>
      <w:ind w:left="720"/>
    </w:pPr>
  </w:style>
  <w:style w:type="paragraph" w:styleId="935">
    <w:name w:val="Normal (Web)"/>
    <w:basedOn w:val="92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Header"/>
    <w:basedOn w:val="926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7"/>
    <w:link w:val="936"/>
    <w:uiPriority w:val="99"/>
  </w:style>
  <w:style w:type="paragraph" w:styleId="938" w:customStyle="1">
    <w:name w:val="dt-p"/>
    <w:basedOn w:val="9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dt-m"/>
    <w:basedOn w:val="927"/>
  </w:style>
  <w:style w:type="character" w:styleId="940">
    <w:name w:val="annotation reference"/>
    <w:basedOn w:val="927"/>
    <w:semiHidden/>
    <w:unhideWhenUsed/>
    <w:rPr>
      <w:sz w:val="16"/>
      <w:szCs w:val="16"/>
    </w:rPr>
  </w:style>
  <w:style w:type="paragraph" w:styleId="941">
    <w:name w:val="annotation text"/>
    <w:basedOn w:val="926"/>
    <w:link w:val="942"/>
    <w:semiHidden/>
    <w:unhideWhenUsed/>
    <w:pPr>
      <w:spacing w:line="240" w:lineRule="auto"/>
    </w:pPr>
    <w:rPr>
      <w:sz w:val="20"/>
      <w:szCs w:val="20"/>
    </w:rPr>
  </w:style>
  <w:style w:type="character" w:styleId="942" w:customStyle="1">
    <w:name w:val="Текст примечания Знак"/>
    <w:basedOn w:val="927"/>
    <w:link w:val="941"/>
    <w:semiHidden/>
    <w:rPr>
      <w:sz w:val="20"/>
      <w:szCs w:val="20"/>
    </w:rPr>
  </w:style>
  <w:style w:type="paragraph" w:styleId="943">
    <w:name w:val="annotation subject"/>
    <w:basedOn w:val="941"/>
    <w:next w:val="941"/>
    <w:link w:val="944"/>
    <w:uiPriority w:val="99"/>
    <w:semiHidden/>
    <w:unhideWhenUsed/>
    <w:rPr>
      <w:b/>
      <w:bCs/>
    </w:rPr>
  </w:style>
  <w:style w:type="character" w:styleId="944" w:customStyle="1">
    <w:name w:val="Тема примечания Знак"/>
    <w:basedOn w:val="942"/>
    <w:link w:val="943"/>
    <w:uiPriority w:val="99"/>
    <w:semiHidden/>
    <w:rPr>
      <w:b/>
      <w:bCs/>
      <w:sz w:val="20"/>
      <w:szCs w:val="20"/>
    </w:rPr>
  </w:style>
  <w:style w:type="paragraph" w:styleId="945">
    <w:name w:val="Balloon Text"/>
    <w:basedOn w:val="926"/>
    <w:link w:val="9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6" w:customStyle="1">
    <w:name w:val="Текст выноски Знак"/>
    <w:basedOn w:val="927"/>
    <w:link w:val="945"/>
    <w:uiPriority w:val="99"/>
    <w:semiHidden/>
    <w:rPr>
      <w:rFonts w:ascii="Segoe UI" w:hAnsi="Segoe UI" w:cs="Segoe UI"/>
      <w:sz w:val="18"/>
      <w:szCs w:val="18"/>
    </w:rPr>
  </w:style>
  <w:style w:type="character" w:styleId="947">
    <w:name w:val="Hyperlink"/>
    <w:basedOn w:val="927"/>
    <w:uiPriority w:val="99"/>
    <w:semiHidden/>
    <w:unhideWhenUsed/>
    <w:rPr>
      <w:color w:val="0000ff"/>
      <w:u w:val="single"/>
    </w:rPr>
  </w:style>
  <w:style w:type="paragraph" w:styleId="948">
    <w:name w:val="footnote text"/>
    <w:basedOn w:val="926"/>
    <w:link w:val="94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49" w:customStyle="1">
    <w:name w:val="Текст сноски Знак"/>
    <w:basedOn w:val="927"/>
    <w:link w:val="948"/>
    <w:uiPriority w:val="99"/>
    <w:semiHidden/>
    <w:rPr>
      <w:sz w:val="20"/>
      <w:szCs w:val="20"/>
    </w:rPr>
  </w:style>
  <w:style w:type="character" w:styleId="950">
    <w:name w:val="footnote reference"/>
    <w:basedOn w:val="927"/>
    <w:uiPriority w:val="99"/>
    <w:semiHidden/>
    <w:unhideWhenUsed/>
    <w:rPr>
      <w:vertAlign w:val="superscript"/>
    </w:rPr>
  </w:style>
  <w:style w:type="paragraph" w:styleId="951">
    <w:name w:val="Caption"/>
    <w:basedOn w:val="926"/>
    <w:next w:val="926"/>
    <w:link w:val="784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952">
    <w:name w:val="FollowedHyperlink"/>
    <w:basedOn w:val="927"/>
    <w:uiPriority w:val="99"/>
    <w:semiHidden/>
    <w:unhideWhenUsed/>
    <w:rPr>
      <w:color w:val="800080" w:themeColor="followedHyperlink"/>
      <w:u w:val="single"/>
    </w:rPr>
  </w:style>
  <w:style w:type="paragraph" w:styleId="953">
    <w:name w:val="Body Text Indent 2"/>
    <w:basedOn w:val="926"/>
    <w:link w:val="954"/>
    <w:unhideWhenUsed/>
    <w:pPr>
      <w:ind w:firstLine="709"/>
      <w:jc w:val="both"/>
      <w:spacing w:after="0" w:line="336" w:lineRule="auto"/>
    </w:pPr>
    <w:rPr>
      <w:rFonts w:ascii="Times New Roman" w:hAnsi="Times New Roman" w:eastAsia="SimSun" w:cs="Times New Roman"/>
      <w:sz w:val="28"/>
      <w:szCs w:val="28"/>
      <w:lang w:eastAsia="ru-RU"/>
    </w:rPr>
  </w:style>
  <w:style w:type="character" w:styleId="954" w:customStyle="1">
    <w:name w:val="Основной текст с отступом 2 Знак"/>
    <w:basedOn w:val="927"/>
    <w:link w:val="953"/>
    <w:rPr>
      <w:rFonts w:ascii="Times New Roman" w:hAnsi="Times New Roman" w:eastAsia="SimSun" w:cs="Times New Roman"/>
      <w:sz w:val="28"/>
      <w:szCs w:val="28"/>
      <w:lang w:eastAsia="ru-RU"/>
    </w:rPr>
  </w:style>
  <w:style w:type="paragraph" w:styleId="955">
    <w:name w:val="Body Text"/>
    <w:basedOn w:val="926"/>
    <w:link w:val="956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 w:customStyle="1">
    <w:name w:val="Основной текст Знак"/>
    <w:basedOn w:val="927"/>
    <w:link w:val="95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ossetimr.ru/zakupki/prav_obesp/2021/2021-29-06-prikaz-479.zip" TargetMode="External"/><Relationship Id="rId12" Type="http://schemas.openxmlformats.org/officeDocument/2006/relationships/hyperlink" Target="https://rossetimr.ru/zakupki/prav_obesp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7D16-03E5-4604-8258-DBD5DA64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MOESK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bobryashovaia</cp:lastModifiedBy>
  <cp:revision>7</cp:revision>
  <dcterms:created xsi:type="dcterms:W3CDTF">2024-03-04T10:23:00Z</dcterms:created>
  <dcterms:modified xsi:type="dcterms:W3CDTF">2026-05-12T13:57:37Z</dcterms:modified>
</cp:coreProperties>
</file>