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D9" w:rsidRDefault="003623D9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3623D9" w:rsidRDefault="003623D9">
      <w:pPr>
        <w:keepNext/>
        <w:keepLines/>
        <w:jc w:val="right"/>
        <w:rPr>
          <w:b/>
          <w:bCs/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8B75B7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3623D9" w:rsidRDefault="002F02AE">
      <w:pPr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ОКПД2 </w:t>
      </w:r>
      <w:r w:rsidRPr="002F02AE">
        <w:rPr>
          <w:rFonts w:eastAsia="Times New Roman" w:cs="Times New Roman"/>
          <w:bCs/>
          <w:color w:val="000000"/>
          <w:spacing w:val="-6"/>
          <w:szCs w:val="24"/>
        </w:rPr>
        <w:t>26.20.40.140</w:t>
      </w:r>
      <w:r w:rsidR="008B75B7">
        <w:rPr>
          <w:rFonts w:eastAsia="Times New Roman" w:cs="Times New Roman"/>
          <w:bCs/>
          <w:color w:val="000000"/>
          <w:spacing w:val="-6"/>
          <w:szCs w:val="24"/>
        </w:rPr>
        <w:t xml:space="preserve"> Поставка </w:t>
      </w:r>
      <w:r>
        <w:rPr>
          <w:rFonts w:eastAsia="Times New Roman" w:cs="Times New Roman"/>
          <w:bCs/>
          <w:color w:val="000000"/>
          <w:spacing w:val="-6"/>
          <w:szCs w:val="24"/>
        </w:rPr>
        <w:t>к</w:t>
      </w:r>
      <w:r w:rsidRPr="002F02AE">
        <w:rPr>
          <w:rFonts w:eastAsia="Times New Roman" w:cs="Times New Roman"/>
          <w:bCs/>
          <w:color w:val="000000"/>
          <w:spacing w:val="-6"/>
          <w:szCs w:val="24"/>
        </w:rPr>
        <w:t>омплекс</w:t>
      </w:r>
      <w:r>
        <w:rPr>
          <w:rFonts w:eastAsia="Times New Roman" w:cs="Times New Roman"/>
          <w:bCs/>
          <w:color w:val="000000"/>
          <w:spacing w:val="-6"/>
          <w:szCs w:val="24"/>
        </w:rPr>
        <w:t>а</w:t>
      </w:r>
      <w:r w:rsidRPr="002F02AE">
        <w:rPr>
          <w:rFonts w:eastAsia="Times New Roman" w:cs="Times New Roman"/>
          <w:bCs/>
          <w:color w:val="000000"/>
          <w:spacing w:val="-6"/>
          <w:szCs w:val="24"/>
        </w:rPr>
        <w:t xml:space="preserve"> безопасности</w:t>
      </w:r>
      <w:r w:rsidR="0049248E" w:rsidRPr="0049248E">
        <w:rPr>
          <w:rFonts w:eastAsia="Times New Roman" w:cs="Times New Roman"/>
          <w:bCs/>
          <w:color w:val="000000"/>
          <w:spacing w:val="-6"/>
          <w:szCs w:val="24"/>
        </w:rPr>
        <w:t xml:space="preserve"> для</w:t>
      </w:r>
      <w:r w:rsidR="008B75B7">
        <w:rPr>
          <w:rFonts w:eastAsia="Times New Roman" w:cs="Times New Roman"/>
          <w:bCs/>
          <w:color w:val="000000"/>
          <w:spacing w:val="-6"/>
          <w:szCs w:val="24"/>
        </w:rPr>
        <w:t xml:space="preserve"> Нерюнгинской ГРЭС</w:t>
      </w:r>
    </w:p>
    <w:p w:rsidR="003623D9" w:rsidRDefault="008B75B7">
      <w:pPr>
        <w:jc w:val="center"/>
        <w:rPr>
          <w:szCs w:val="24"/>
        </w:rPr>
        <w:sectPr w:rsidR="003623D9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szCs w:val="24"/>
        </w:rPr>
        <w:t xml:space="preserve">(Лот № </w:t>
      </w:r>
      <w:r w:rsidR="003C0A55" w:rsidRPr="003C0A55">
        <w:rPr>
          <w:szCs w:val="24"/>
        </w:rPr>
        <w:t>0054-ТПиР БЕЗОП ДОХ-2026-ГРВКК-СШФ</w:t>
      </w:r>
      <w:r>
        <w:rPr>
          <w:szCs w:val="24"/>
        </w:rPr>
        <w:t>)</w:t>
      </w:r>
    </w:p>
    <w:p w:rsidR="003623D9" w:rsidRDefault="008B75B7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  <w:t>Общие сведения</w:t>
      </w:r>
    </w:p>
    <w:p w:rsidR="003623D9" w:rsidRDefault="008B75B7">
      <w:pPr>
        <w:pStyle w:val="4"/>
        <w:numPr>
          <w:ilvl w:val="1"/>
          <w:numId w:val="1"/>
        </w:numPr>
        <w:ind w:left="0" w:firstLine="0"/>
      </w:pPr>
      <w:bookmarkStart w:id="1" w:name="_Toc46743506"/>
      <w:bookmarkStart w:id="2" w:name="_Toc75446568"/>
      <w:r>
        <w:t>Наименование закупаемой продукции</w:t>
      </w:r>
      <w:bookmarkEnd w:id="1"/>
      <w:bookmarkEnd w:id="2"/>
    </w:p>
    <w:p w:rsidR="003623D9" w:rsidRDefault="002F02AE">
      <w:pPr>
        <w:jc w:val="both"/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ОКПД2 </w:t>
      </w:r>
      <w:r w:rsidRPr="002F02AE">
        <w:rPr>
          <w:rFonts w:eastAsia="Times New Roman" w:cs="Times New Roman"/>
          <w:bCs/>
          <w:color w:val="000000"/>
          <w:spacing w:val="-6"/>
          <w:szCs w:val="24"/>
        </w:rPr>
        <w:t>26.20.40.140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Поставка к</w:t>
      </w:r>
      <w:r w:rsidRPr="002F02AE">
        <w:rPr>
          <w:rFonts w:eastAsia="Times New Roman" w:cs="Times New Roman"/>
          <w:bCs/>
          <w:color w:val="000000"/>
          <w:spacing w:val="-6"/>
          <w:szCs w:val="24"/>
        </w:rPr>
        <w:t>омплекс</w:t>
      </w:r>
      <w:r>
        <w:rPr>
          <w:rFonts w:eastAsia="Times New Roman" w:cs="Times New Roman"/>
          <w:bCs/>
          <w:color w:val="000000"/>
          <w:spacing w:val="-6"/>
          <w:szCs w:val="24"/>
        </w:rPr>
        <w:t>а</w:t>
      </w:r>
      <w:r w:rsidRPr="002F02AE">
        <w:rPr>
          <w:rFonts w:eastAsia="Times New Roman" w:cs="Times New Roman"/>
          <w:bCs/>
          <w:color w:val="000000"/>
          <w:spacing w:val="-6"/>
          <w:szCs w:val="24"/>
        </w:rPr>
        <w:t xml:space="preserve"> безопасности</w:t>
      </w:r>
      <w:r w:rsidRPr="0049248E">
        <w:rPr>
          <w:rFonts w:eastAsia="Times New Roman" w:cs="Times New Roman"/>
          <w:bCs/>
          <w:color w:val="000000"/>
          <w:spacing w:val="-6"/>
          <w:szCs w:val="24"/>
        </w:rPr>
        <w:t xml:space="preserve"> для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Нерюнгинской ГРЭС</w:t>
      </w:r>
      <w:r w:rsidR="008B75B7">
        <w:rPr>
          <w:szCs w:val="24"/>
        </w:rPr>
        <w:t xml:space="preserve"> </w:t>
      </w:r>
      <w:r w:rsidR="008B75B7">
        <w:rPr>
          <w:rFonts w:cs="Times New Roman"/>
          <w:szCs w:val="24"/>
        </w:rPr>
        <w:t>(далее – продукция)</w:t>
      </w:r>
      <w:bookmarkStart w:id="3" w:name="_Toc75446569"/>
      <w:r w:rsidR="008B75B7">
        <w:t>.</w:t>
      </w:r>
    </w:p>
    <w:p w:rsidR="003623D9" w:rsidRDefault="003623D9">
      <w:pPr>
        <w:ind w:firstLine="419"/>
      </w:pPr>
    </w:p>
    <w:p w:rsidR="003623D9" w:rsidRDefault="008B75B7">
      <w:pPr>
        <w:pStyle w:val="4"/>
        <w:numPr>
          <w:ilvl w:val="1"/>
          <w:numId w:val="1"/>
        </w:numPr>
        <w:ind w:left="0" w:firstLine="0"/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  <w:bookmarkEnd w:id="3"/>
      <w:r>
        <w:t xml:space="preserve"> </w:t>
      </w:r>
    </w:p>
    <w:p w:rsidR="003623D9" w:rsidRDefault="008B75B7">
      <w:pPr>
        <w:pStyle w:val="BodyText21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3623D9" w:rsidRDefault="008B75B7">
      <w:pPr>
        <w:pStyle w:val="BodyText21"/>
      </w:pPr>
      <w:r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№ 1510-79-2023 от 10.11.2023 ВЗЛ 0019-КС ПИР СМР-2026-Хабаровский филиал "Внедрение Единой системы контроля и управления доступом на период строительства 2-ой очереди Нерюнгринской ГРЭС"</w:t>
      </w:r>
    </w:p>
    <w:p w:rsidR="003623D9" w:rsidRDefault="003623D9">
      <w:pPr>
        <w:rPr>
          <w:szCs w:val="24"/>
        </w:rPr>
      </w:pPr>
    </w:p>
    <w:p w:rsidR="003623D9" w:rsidRDefault="008B75B7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5" w:name="_Toc51339693"/>
      <w:bookmarkStart w:id="6" w:name="_Toc75446573"/>
      <w:r>
        <w:t>Требования к продукции</w:t>
      </w:r>
      <w:bookmarkEnd w:id="5"/>
      <w:bookmarkEnd w:id="6"/>
    </w:p>
    <w:p w:rsidR="003623D9" w:rsidRDefault="003623D9">
      <w:pPr>
        <w:rPr>
          <w:lang w:eastAsia="x-none"/>
        </w:rPr>
      </w:pPr>
    </w:p>
    <w:p w:rsidR="003623D9" w:rsidRDefault="008B75B7">
      <w:pPr>
        <w:pStyle w:val="4"/>
        <w:numPr>
          <w:ilvl w:val="1"/>
          <w:numId w:val="1"/>
        </w:numPr>
        <w:ind w:left="0" w:firstLine="0"/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3623D9" w:rsidRDefault="008B75B7">
      <w:pPr>
        <w:pStyle w:val="32"/>
        <w:numPr>
          <w:ilvl w:val="2"/>
          <w:numId w:val="1"/>
        </w:numPr>
        <w:ind w:left="0" w:firstLine="0"/>
      </w:pPr>
      <w:bookmarkStart w:id="8" w:name="_Toc75446575"/>
      <w:r>
        <w:t>Перечень и объем закупаемой продукции</w:t>
      </w:r>
      <w:bookmarkEnd w:id="8"/>
    </w:p>
    <w:p w:rsidR="003623D9" w:rsidRDefault="003623D9">
      <w:pPr>
        <w:rPr>
          <w:lang w:val="x-none" w:eastAsia="x-none"/>
        </w:rPr>
      </w:pPr>
    </w:p>
    <w:p w:rsidR="003623D9" w:rsidRDefault="008B75B7">
      <w:pPr>
        <w:jc w:val="both"/>
        <w:rPr>
          <w:szCs w:val="24"/>
        </w:rPr>
      </w:pPr>
      <w:bookmarkStart w:id="9" w:name="_Toc51339695"/>
      <w:bookmarkStart w:id="10" w:name="_Toc75446576"/>
      <w:bookmarkStart w:id="11" w:name="_Toc75446578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10"/>
      <w:r>
        <w:rPr>
          <w:szCs w:val="24"/>
        </w:rPr>
        <w:t>и</w:t>
      </w:r>
    </w:p>
    <w:tbl>
      <w:tblPr>
        <w:tblW w:w="9521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6243"/>
        <w:gridCol w:w="1252"/>
        <w:gridCol w:w="1351"/>
      </w:tblGrid>
      <w:tr w:rsidR="003623D9" w:rsidTr="0049248E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keepNext/>
              <w:widowControl w:val="0"/>
              <w:jc w:val="center"/>
            </w:pPr>
            <w:r>
              <w:rPr>
                <w:sz w:val="22"/>
              </w:rPr>
              <w:t>№</w:t>
            </w:r>
          </w:p>
          <w:p w:rsidR="003623D9" w:rsidRDefault="008B75B7">
            <w:pPr>
              <w:widowControl w:val="0"/>
              <w:jc w:val="center"/>
            </w:pPr>
            <w:r>
              <w:rPr>
                <w:sz w:val="22"/>
              </w:rPr>
              <w:t>п/п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sz w:val="22"/>
              </w:rPr>
              <w:t>Количество</w:t>
            </w:r>
          </w:p>
        </w:tc>
      </w:tr>
      <w:tr w:rsidR="003623D9" w:rsidTr="0049248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sz w:val="22"/>
              </w:rPr>
              <w:t>4</w:t>
            </w:r>
          </w:p>
        </w:tc>
      </w:tr>
      <w:tr w:rsidR="003623D9" w:rsidTr="00613481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3623D9">
            <w:pPr>
              <w:widowControl w:val="0"/>
              <w:numPr>
                <w:ilvl w:val="0"/>
                <w:numId w:val="2"/>
              </w:numPr>
              <w:rPr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Default="0049248E" w:rsidP="00613481">
            <w:pPr>
              <w:pStyle w:val="afffff"/>
            </w:pPr>
            <w:r w:rsidRPr="0049248E">
              <w:t>Ко</w:t>
            </w:r>
            <w:r w:rsidR="00613481">
              <w:t>мплекс безопасности "Континент"</w:t>
            </w:r>
            <w:r w:rsidRPr="0049248E">
              <w:t>; артикул: K4-R550-HW-KC2-SP1Y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23D9" w:rsidRPr="0049248E" w:rsidRDefault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9248E" w:rsidRDefault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9248E" w:rsidTr="00613481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8E" w:rsidRDefault="0049248E" w:rsidP="0049248E">
            <w:pPr>
              <w:widowControl w:val="0"/>
              <w:numPr>
                <w:ilvl w:val="0"/>
                <w:numId w:val="2"/>
              </w:numPr>
              <w:rPr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49248E" w:rsidRDefault="0049248E" w:rsidP="00613481">
            <w:pPr>
              <w:pStyle w:val="afffff"/>
            </w:pPr>
            <w:r w:rsidRPr="0049248E">
              <w:t>Право на использование ПО "Ко</w:t>
            </w:r>
            <w:r w:rsidR="00613481">
              <w:t>мплекс безопасности "Континент"</w:t>
            </w:r>
            <w:r w:rsidRPr="0049248E">
              <w:t>; артикул: K4-R550-base-KC2-SP1Y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8E" w:rsidRPr="0049248E" w:rsidRDefault="0049248E" w:rsidP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8E" w:rsidRPr="0049248E" w:rsidRDefault="0049248E" w:rsidP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9248E" w:rsidTr="00613481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8E" w:rsidRDefault="0049248E" w:rsidP="0049248E">
            <w:pPr>
              <w:widowControl w:val="0"/>
              <w:numPr>
                <w:ilvl w:val="0"/>
                <w:numId w:val="2"/>
              </w:numPr>
              <w:rPr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49248E" w:rsidRDefault="0049248E" w:rsidP="00613481">
            <w:pPr>
              <w:pStyle w:val="afffff"/>
            </w:pPr>
            <w:r w:rsidRPr="0049248E">
              <w:t>Ключ активации сервиса прямой технической поддержки уровня "Стандартный" для Комп</w:t>
            </w:r>
            <w:r w:rsidR="00613481">
              <w:t xml:space="preserve">лекса безопасности "Континент"; </w:t>
            </w:r>
            <w:r w:rsidRPr="0049248E">
              <w:t>артикул: K4-SUPPORT-ST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248E" w:rsidRPr="0049248E" w:rsidRDefault="0049248E" w:rsidP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8E" w:rsidRPr="0049248E" w:rsidRDefault="0049248E" w:rsidP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3623D9" w:rsidRDefault="003623D9">
      <w:pPr>
        <w:pStyle w:val="32"/>
      </w:pPr>
    </w:p>
    <w:p w:rsidR="003623D9" w:rsidRDefault="003623D9"/>
    <w:p w:rsidR="003623D9" w:rsidRDefault="008B75B7">
      <w:pPr>
        <w:pStyle w:val="32"/>
        <w:numPr>
          <w:ilvl w:val="2"/>
          <w:numId w:val="1"/>
        </w:numPr>
        <w:ind w:left="0" w:firstLine="0"/>
      </w:pPr>
      <w:bookmarkStart w:id="12" w:name="_Toc51339696"/>
      <w:r>
        <w:t xml:space="preserve">Требования </w:t>
      </w:r>
      <w:bookmarkEnd w:id="12"/>
      <w:r>
        <w:t xml:space="preserve">к срокам поставки продукции </w:t>
      </w:r>
      <w:bookmarkEnd w:id="11"/>
    </w:p>
    <w:p w:rsidR="003623D9" w:rsidRDefault="003623D9">
      <w:pPr>
        <w:rPr>
          <w:lang w:val="x-none" w:eastAsia="x-none"/>
        </w:rPr>
      </w:pPr>
    </w:p>
    <w:p w:rsidR="003623D9" w:rsidRDefault="008B75B7">
      <w:pPr>
        <w:rPr>
          <w:szCs w:val="24"/>
          <w:lang w:eastAsia="x-none"/>
        </w:rPr>
      </w:pPr>
      <w:bookmarkStart w:id="13" w:name="_Toc50125127"/>
      <w:bookmarkStart w:id="14" w:name="_Toc51339697"/>
      <w:bookmarkStart w:id="15" w:name="_Toc75446579"/>
      <w:r>
        <w:rPr>
          <w:szCs w:val="24"/>
          <w:lang w:eastAsia="x-none"/>
        </w:rPr>
        <w:t xml:space="preserve">Таблица 2.2 </w:t>
      </w:r>
      <w:bookmarkStart w:id="16" w:name="_Hlk50465284"/>
      <w:r>
        <w:rPr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szCs w:val="24"/>
          <w:lang w:eastAsia="x-none"/>
        </w:rPr>
        <w:t>поставки продукции</w:t>
      </w:r>
      <w:bookmarkEnd w:id="15"/>
      <w:r>
        <w:rPr>
          <w:szCs w:val="24"/>
          <w:lang w:eastAsia="x-none"/>
        </w:rPr>
        <w:t xml:space="preserve"> </w:t>
      </w: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264"/>
        <w:gridCol w:w="2703"/>
        <w:gridCol w:w="2827"/>
        <w:gridCol w:w="2840"/>
      </w:tblGrid>
      <w:tr w:rsidR="003623D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Default="008B75B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3623D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jc w:val="center"/>
              <w:rPr>
                <w:b/>
              </w:rPr>
            </w:pPr>
            <w:bookmarkStart w:id="17" w:name="_GoBack"/>
            <w:bookmarkEnd w:id="17"/>
            <w:r>
              <w:rPr>
                <w:b/>
              </w:rPr>
              <w:t>4</w:t>
            </w:r>
          </w:p>
        </w:tc>
      </w:tr>
      <w:tr w:rsidR="003623D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49248E">
            <w:pPr>
              <w:widowControl w:val="0"/>
            </w:pPr>
            <w:r>
              <w:t>1.1.-1.3</w:t>
            </w:r>
            <w:r w:rsidR="008B75B7">
              <w:t>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2F02AE" w:rsidP="0049248E">
            <w:pPr>
              <w:widowControl w:val="0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ОКПД2 </w:t>
            </w:r>
            <w:r w:rsidRPr="002F02AE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26.20.40.140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Поставка к</w:t>
            </w:r>
            <w:r w:rsidRPr="002F02AE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омплекс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а</w:t>
            </w:r>
            <w:r w:rsidRPr="002F02AE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безопасности</w:t>
            </w:r>
            <w:r w:rsidRPr="0049248E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для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Нерюнгинской ГРЭС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Default="008B75B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791AFD" w:rsidRDefault="008B75B7" w:rsidP="00791AFD">
            <w:pPr>
              <w:widowControl w:val="0"/>
              <w:rPr>
                <w:szCs w:val="24"/>
              </w:rPr>
            </w:pPr>
            <w:r w:rsidRPr="00791AFD">
              <w:rPr>
                <w:szCs w:val="24"/>
              </w:rPr>
              <w:t xml:space="preserve">До </w:t>
            </w:r>
            <w:r w:rsidR="00791AFD" w:rsidRPr="00791AFD">
              <w:rPr>
                <w:szCs w:val="24"/>
                <w:lang w:val="en-US"/>
              </w:rPr>
              <w:t>30</w:t>
            </w:r>
            <w:r w:rsidRPr="00791AFD">
              <w:rPr>
                <w:szCs w:val="24"/>
              </w:rPr>
              <w:t>.0</w:t>
            </w:r>
            <w:r w:rsidR="00791AFD" w:rsidRPr="00791AFD">
              <w:rPr>
                <w:szCs w:val="24"/>
                <w:lang w:val="en-US"/>
              </w:rPr>
              <w:t>6</w:t>
            </w:r>
            <w:r w:rsidRPr="00791AFD">
              <w:rPr>
                <w:szCs w:val="24"/>
              </w:rPr>
              <w:t>.2026г</w:t>
            </w:r>
          </w:p>
        </w:tc>
      </w:tr>
    </w:tbl>
    <w:p w:rsidR="003623D9" w:rsidRDefault="003623D9">
      <w:pPr>
        <w:sectPr w:rsidR="003623D9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:rsidR="003623D9" w:rsidRDefault="008B75B7">
      <w:pPr>
        <w:rPr>
          <w:szCs w:val="24"/>
          <w:lang w:eastAsia="x-none"/>
        </w:rPr>
      </w:pPr>
      <w:r>
        <w:rPr>
          <w:szCs w:val="24"/>
          <w:lang w:eastAsia="x-none"/>
        </w:rPr>
        <w:lastRenderedPageBreak/>
        <w:t>Таблица 2.4. Требования к продукции</w:t>
      </w:r>
    </w:p>
    <w:tbl>
      <w:tblPr>
        <w:tblW w:w="1450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2730"/>
        <w:gridCol w:w="2494"/>
        <w:gridCol w:w="1725"/>
        <w:gridCol w:w="3032"/>
        <w:gridCol w:w="3688"/>
      </w:tblGrid>
      <w:tr w:rsidR="003623D9" w:rsidTr="002F02AE">
        <w:trPr>
          <w:trHeight w:val="504"/>
        </w:trPr>
        <w:tc>
          <w:tcPr>
            <w:tcW w:w="14507" w:type="dxa"/>
            <w:gridSpan w:val="6"/>
            <w:vAlign w:val="center"/>
          </w:tcPr>
          <w:p w:rsidR="003623D9" w:rsidRDefault="008B75B7" w:rsidP="002F02AE">
            <w:pPr>
              <w:keepNext/>
              <w:widowControl w:val="0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1.1.-1.</w:t>
            </w:r>
            <w:r w:rsidR="002F02AE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. Таблицы 2.1): </w:t>
            </w:r>
            <w:r w:rsidR="002F02AE" w:rsidRPr="002F02AE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ОКПД2 26.20.40.140 Поставка комплекса безопасности для Нерюнгинской ГРЭС</w:t>
            </w:r>
          </w:p>
        </w:tc>
      </w:tr>
      <w:tr w:rsidR="003623D9" w:rsidTr="002F02AE">
        <w:trPr>
          <w:trHeight w:val="739"/>
        </w:trPr>
        <w:tc>
          <w:tcPr>
            <w:tcW w:w="838" w:type="dxa"/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5224" w:type="dxa"/>
            <w:gridSpan w:val="2"/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725" w:type="dxa"/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3032" w:type="dxa"/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3688" w:type="dxa"/>
            <w:vAlign w:val="center"/>
          </w:tcPr>
          <w:p w:rsidR="003623D9" w:rsidRDefault="008B75B7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 w:rsidR="0049248E" w:rsidTr="002F02AE">
        <w:trPr>
          <w:trHeight w:val="288"/>
        </w:trPr>
        <w:tc>
          <w:tcPr>
            <w:tcW w:w="838" w:type="dxa"/>
            <w:vMerge w:val="restart"/>
            <w:vAlign w:val="center"/>
          </w:tcPr>
          <w:p w:rsidR="0049248E" w:rsidRDefault="0049248E" w:rsidP="004924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224" w:type="dxa"/>
            <w:gridSpan w:val="2"/>
            <w:vMerge w:val="restart"/>
            <w:vAlign w:val="center"/>
          </w:tcPr>
          <w:p w:rsidR="0049248E" w:rsidRDefault="0049248E" w:rsidP="00B45DF8">
            <w:pPr>
              <w:pStyle w:val="afffff"/>
            </w:pPr>
            <w:r w:rsidRPr="0049248E">
              <w:t>Комплекс безопасности "Континент".</w:t>
            </w:r>
            <w:r w:rsidR="00B45DF8" w:rsidRPr="00B45DF8">
              <w:t>А</w:t>
            </w:r>
            <w:r w:rsidRPr="0049248E">
              <w:t>ртикул: K4-R550-HW-KC2-SP1Y</w:t>
            </w:r>
          </w:p>
        </w:tc>
        <w:tc>
          <w:tcPr>
            <w:tcW w:w="1725" w:type="dxa"/>
            <w:vMerge w:val="restart"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49248E" w:rsidRPr="00613481" w:rsidRDefault="00613481" w:rsidP="008F6161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Версия</w:t>
            </w:r>
            <w:r w:rsidR="008F6161">
              <w:rPr>
                <w:lang w:val="en-US"/>
              </w:rPr>
              <w:t>:</w:t>
            </w:r>
          </w:p>
        </w:tc>
        <w:tc>
          <w:tcPr>
            <w:tcW w:w="3688" w:type="dxa"/>
            <w:vAlign w:val="center"/>
          </w:tcPr>
          <w:p w:rsidR="0049248E" w:rsidRPr="00613481" w:rsidRDefault="00613481" w:rsidP="0049248E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9248E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49248E" w:rsidRPr="008F6161" w:rsidRDefault="008F6161" w:rsidP="008F6161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Платформа:</w:t>
            </w:r>
          </w:p>
        </w:tc>
        <w:tc>
          <w:tcPr>
            <w:tcW w:w="3688" w:type="dxa"/>
            <w:vAlign w:val="center"/>
          </w:tcPr>
          <w:p w:rsidR="0049248E" w:rsidRDefault="008F6161" w:rsidP="0049248E">
            <w:pPr>
              <w:widowControl w:val="0"/>
              <w:jc w:val="center"/>
            </w:pPr>
            <w:r w:rsidRPr="0049248E">
              <w:t>IPC-R550. KC2</w:t>
            </w:r>
          </w:p>
        </w:tc>
      </w:tr>
      <w:tr w:rsidR="0049248E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49248E" w:rsidRPr="008F6161" w:rsidRDefault="008F6161" w:rsidP="008F6161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Назначение:</w:t>
            </w:r>
          </w:p>
        </w:tc>
        <w:tc>
          <w:tcPr>
            <w:tcW w:w="3688" w:type="dxa"/>
            <w:vAlign w:val="center"/>
          </w:tcPr>
          <w:p w:rsidR="0049248E" w:rsidRPr="008F6161" w:rsidRDefault="008F6161" w:rsidP="0049248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Многофункциональный узел безопасности </w:t>
            </w:r>
            <w:r w:rsidRPr="008F6161">
              <w:rPr>
                <w:lang w:val="en-US"/>
              </w:rPr>
              <w:t>(UTM).</w:t>
            </w:r>
          </w:p>
        </w:tc>
      </w:tr>
      <w:tr w:rsidR="0049248E" w:rsidRPr="002F02AE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49248E" w:rsidRDefault="0049248E" w:rsidP="0049248E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49248E" w:rsidRDefault="008F6161" w:rsidP="008F6161">
            <w:pPr>
              <w:widowControl w:val="0"/>
              <w:jc w:val="right"/>
            </w:pPr>
            <w:r w:rsidRPr="008F6161">
              <w:rPr>
                <w:lang w:val="en-US"/>
              </w:rPr>
              <w:t>Сетевые интерфейсы:</w:t>
            </w:r>
          </w:p>
        </w:tc>
        <w:tc>
          <w:tcPr>
            <w:tcW w:w="3688" w:type="dxa"/>
            <w:vAlign w:val="center"/>
          </w:tcPr>
          <w:p w:rsidR="0049248E" w:rsidRPr="008F6161" w:rsidRDefault="008F6161" w:rsidP="0049248E">
            <w:pPr>
              <w:widowControl w:val="0"/>
              <w:jc w:val="center"/>
              <w:rPr>
                <w:lang w:val="en-US"/>
              </w:rPr>
            </w:pPr>
            <w:r w:rsidRPr="008F6161">
              <w:rPr>
                <w:lang w:val="en-US"/>
              </w:rPr>
              <w:t>4х 1000BASE-T RJ45</w:t>
            </w:r>
            <w:r w:rsidRPr="008F6161">
              <w:rPr>
                <w:lang w:val="en-US"/>
              </w:rPr>
              <w:br/>
              <w:t>2x Combo SFP/RJ45</w:t>
            </w:r>
            <w:r w:rsidRPr="008F6161">
              <w:rPr>
                <w:lang w:val="en-US"/>
              </w:rPr>
              <w:br/>
              <w:t>2x 10G SFP+</w:t>
            </w:r>
          </w:p>
        </w:tc>
      </w:tr>
      <w:tr w:rsidR="0049248E" w:rsidRPr="008F6161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49248E" w:rsidRPr="008F6161" w:rsidRDefault="0049248E" w:rsidP="0049248E">
            <w:pPr>
              <w:widowControl w:val="0"/>
              <w:rPr>
                <w:lang w:val="en-US"/>
              </w:rPr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49248E" w:rsidRPr="008F6161" w:rsidRDefault="0049248E" w:rsidP="0049248E">
            <w:pPr>
              <w:widowControl w:val="0"/>
              <w:rPr>
                <w:lang w:val="en-US"/>
              </w:rPr>
            </w:pPr>
          </w:p>
        </w:tc>
        <w:tc>
          <w:tcPr>
            <w:tcW w:w="1725" w:type="dxa"/>
            <w:vMerge/>
            <w:vAlign w:val="center"/>
          </w:tcPr>
          <w:p w:rsidR="0049248E" w:rsidRPr="008F6161" w:rsidRDefault="0049248E" w:rsidP="0049248E">
            <w:pPr>
              <w:widowControl w:val="0"/>
              <w:rPr>
                <w:lang w:val="en-US"/>
              </w:rPr>
            </w:pPr>
          </w:p>
        </w:tc>
        <w:tc>
          <w:tcPr>
            <w:tcW w:w="3032" w:type="dxa"/>
            <w:vAlign w:val="center"/>
          </w:tcPr>
          <w:p w:rsidR="0049248E" w:rsidRPr="008F6161" w:rsidRDefault="008F6161" w:rsidP="008F6161">
            <w:pPr>
              <w:widowControl w:val="0"/>
              <w:jc w:val="right"/>
              <w:rPr>
                <w:lang w:val="en-US"/>
              </w:rPr>
            </w:pPr>
            <w:r w:rsidRPr="008F6161">
              <w:rPr>
                <w:lang w:val="en-US"/>
              </w:rPr>
              <w:t>Формфактор:</w:t>
            </w:r>
          </w:p>
        </w:tc>
        <w:tc>
          <w:tcPr>
            <w:tcW w:w="3688" w:type="dxa"/>
            <w:vAlign w:val="center"/>
          </w:tcPr>
          <w:p w:rsidR="0049248E" w:rsidRPr="002F02AE" w:rsidRDefault="008F6161" w:rsidP="0049248E">
            <w:pPr>
              <w:widowControl w:val="0"/>
              <w:jc w:val="center"/>
            </w:pPr>
            <w:r w:rsidRPr="002F02AE">
              <w:t>Настольный с комплектом для крепления в стойки 1</w:t>
            </w:r>
            <w:r w:rsidRPr="008F6161">
              <w:rPr>
                <w:lang w:val="en-US"/>
              </w:rPr>
              <w:t>U</w:t>
            </w:r>
          </w:p>
        </w:tc>
      </w:tr>
      <w:tr w:rsidR="0049248E" w:rsidTr="002F02AE">
        <w:trPr>
          <w:trHeight w:val="288"/>
        </w:trPr>
        <w:tc>
          <w:tcPr>
            <w:tcW w:w="838" w:type="dxa"/>
            <w:vMerge w:val="restart"/>
            <w:vAlign w:val="center"/>
          </w:tcPr>
          <w:p w:rsidR="0049248E" w:rsidRDefault="0049248E" w:rsidP="0049248E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5224" w:type="dxa"/>
            <w:gridSpan w:val="2"/>
            <w:vMerge w:val="restart"/>
            <w:vAlign w:val="center"/>
          </w:tcPr>
          <w:p w:rsidR="0049248E" w:rsidRPr="00B45DF8" w:rsidRDefault="00613481" w:rsidP="00B45DF8">
            <w:pPr>
              <w:pStyle w:val="afffff"/>
              <w:rPr>
                <w:lang w:val="en-US"/>
              </w:rPr>
            </w:pPr>
            <w:r w:rsidRPr="0049248E">
              <w:t xml:space="preserve">Право на использование ПО "Комплекс безопасности "Континент". </w:t>
            </w:r>
            <w:r w:rsidR="00B45DF8" w:rsidRPr="00B45DF8">
              <w:t>А</w:t>
            </w:r>
            <w:r w:rsidRPr="0049248E">
              <w:t>ртикул</w:t>
            </w:r>
            <w:r w:rsidRPr="00B45DF8">
              <w:rPr>
                <w:lang w:val="en-US"/>
              </w:rPr>
              <w:t>: K4-R550-base-KC2-SP1Y</w:t>
            </w:r>
          </w:p>
        </w:tc>
        <w:tc>
          <w:tcPr>
            <w:tcW w:w="1725" w:type="dxa"/>
            <w:vMerge w:val="restart"/>
            <w:vAlign w:val="center"/>
          </w:tcPr>
          <w:p w:rsidR="0049248E" w:rsidRPr="00B45DF8" w:rsidRDefault="0049248E" w:rsidP="0049248E">
            <w:pPr>
              <w:widowControl w:val="0"/>
              <w:rPr>
                <w:lang w:val="en-US"/>
              </w:rPr>
            </w:pPr>
          </w:p>
        </w:tc>
        <w:tc>
          <w:tcPr>
            <w:tcW w:w="3032" w:type="dxa"/>
            <w:vAlign w:val="center"/>
          </w:tcPr>
          <w:p w:rsidR="0049248E" w:rsidRPr="008F6161" w:rsidRDefault="008F6161" w:rsidP="008F6161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Кол-во лицензируемых объектов:</w:t>
            </w:r>
          </w:p>
        </w:tc>
        <w:tc>
          <w:tcPr>
            <w:tcW w:w="3688" w:type="dxa"/>
            <w:vAlign w:val="center"/>
          </w:tcPr>
          <w:p w:rsidR="0049248E" w:rsidRPr="008F6161" w:rsidRDefault="008F6161" w:rsidP="0049248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613481" w:rsidRDefault="00B45DF8" w:rsidP="00B45DF8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Версия:</w:t>
            </w:r>
          </w:p>
        </w:tc>
        <w:tc>
          <w:tcPr>
            <w:tcW w:w="3688" w:type="dxa"/>
            <w:vAlign w:val="center"/>
          </w:tcPr>
          <w:p w:rsidR="00B45DF8" w:rsidRPr="00613481" w:rsidRDefault="00B45DF8" w:rsidP="00B45DF8">
            <w:pPr>
              <w:pStyle w:val="a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8F6161" w:rsidRDefault="00B45DF8" w:rsidP="00B45DF8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Срок действия:</w:t>
            </w:r>
          </w:p>
        </w:tc>
        <w:tc>
          <w:tcPr>
            <w:tcW w:w="3688" w:type="dxa"/>
            <w:vAlign w:val="center"/>
          </w:tcPr>
          <w:p w:rsidR="00B45DF8" w:rsidRPr="008F6161" w:rsidRDefault="00B45DF8" w:rsidP="00B45DF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Бессрочное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8F6161" w:rsidRDefault="00B45DF8" w:rsidP="00B45DF8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Тип продукта:</w:t>
            </w:r>
          </w:p>
        </w:tc>
        <w:tc>
          <w:tcPr>
            <w:tcW w:w="3688" w:type="dxa"/>
            <w:vAlign w:val="center"/>
          </w:tcPr>
          <w:p w:rsidR="00B45DF8" w:rsidRPr="008F6161" w:rsidRDefault="00B45DF8" w:rsidP="00B45DF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Лицензия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8F6161" w:rsidRDefault="00B45DF8" w:rsidP="00B45DF8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Тип лицензии:</w:t>
            </w:r>
          </w:p>
        </w:tc>
        <w:tc>
          <w:tcPr>
            <w:tcW w:w="3688" w:type="dxa"/>
            <w:vAlign w:val="center"/>
          </w:tcPr>
          <w:p w:rsidR="00B45DF8" w:rsidRPr="008F6161" w:rsidRDefault="00B45DF8" w:rsidP="00B45DF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Базовая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8F6161" w:rsidRDefault="00B45DF8" w:rsidP="00B45DF8">
            <w:pPr>
              <w:widowControl w:val="0"/>
              <w:jc w:val="right"/>
              <w:rPr>
                <w:lang w:val="en-US"/>
              </w:rPr>
            </w:pPr>
            <w:r w:rsidRPr="008F6161">
              <w:rPr>
                <w:lang w:val="en-US"/>
              </w:rPr>
              <w:t>Совместимость:</w:t>
            </w:r>
          </w:p>
        </w:tc>
        <w:tc>
          <w:tcPr>
            <w:tcW w:w="3688" w:type="dxa"/>
            <w:vAlign w:val="center"/>
          </w:tcPr>
          <w:p w:rsidR="00B45DF8" w:rsidRPr="008F6161" w:rsidRDefault="00B45DF8" w:rsidP="00B45DF8">
            <w:pPr>
              <w:shd w:val="clear" w:color="auto" w:fill="FFFFFF"/>
              <w:suppressAutoHyphens w:val="0"/>
              <w:overflowPunct/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02AE">
              <w:t xml:space="preserve">КБ Континент. Версия 4. Узел безопасности на платформе </w:t>
            </w:r>
            <w:r w:rsidRPr="008F6161">
              <w:rPr>
                <w:lang w:val="en-US"/>
              </w:rPr>
              <w:t>IPC</w:t>
            </w:r>
            <w:r w:rsidRPr="002F02AE">
              <w:t>-</w:t>
            </w:r>
            <w:r w:rsidRPr="008F6161">
              <w:rPr>
                <w:lang w:val="en-US"/>
              </w:rPr>
              <w:t>R</w:t>
            </w:r>
            <w:r w:rsidRPr="002F02AE">
              <w:t>550.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 w:val="restart"/>
            <w:vAlign w:val="center"/>
          </w:tcPr>
          <w:p w:rsidR="00B45DF8" w:rsidRDefault="00B45DF8" w:rsidP="00B45DF8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5224" w:type="dxa"/>
            <w:gridSpan w:val="2"/>
            <w:vMerge w:val="restart"/>
            <w:vAlign w:val="center"/>
          </w:tcPr>
          <w:p w:rsidR="00B45DF8" w:rsidRDefault="00B45DF8" w:rsidP="00B45DF8">
            <w:pPr>
              <w:pStyle w:val="afffff"/>
            </w:pPr>
            <w:r w:rsidRPr="0049248E">
              <w:t>Ключ активации сервиса прямо</w:t>
            </w:r>
            <w:r>
              <w:t xml:space="preserve">й технической поддержки. </w:t>
            </w:r>
            <w:r>
              <w:rPr>
                <w:lang w:val="en-US"/>
              </w:rPr>
              <w:t>А</w:t>
            </w:r>
            <w:r w:rsidRPr="0049248E">
              <w:t>ртикул: K4-SUPPORT-ST</w:t>
            </w:r>
          </w:p>
        </w:tc>
        <w:tc>
          <w:tcPr>
            <w:tcW w:w="1725" w:type="dxa"/>
            <w:vMerge w:val="restart"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B45DF8" w:rsidRDefault="00B45DF8" w:rsidP="00B45DF8">
            <w:pPr>
              <w:widowControl w:val="0"/>
              <w:jc w:val="right"/>
            </w:pPr>
            <w:r w:rsidRPr="00B45DF8">
              <w:t>Кол-во лицензий:</w:t>
            </w:r>
          </w:p>
        </w:tc>
        <w:tc>
          <w:tcPr>
            <w:tcW w:w="3688" w:type="dxa"/>
            <w:vAlign w:val="center"/>
          </w:tcPr>
          <w:p w:rsidR="00B45DF8" w:rsidRPr="00B45DF8" w:rsidRDefault="00B45DF8" w:rsidP="00B45DF8">
            <w:pPr>
              <w:widowControl w:val="0"/>
              <w:jc w:val="center"/>
            </w:pPr>
            <w:r w:rsidRPr="00B45DF8">
              <w:t>1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B45DF8" w:rsidRDefault="00B45DF8" w:rsidP="00B45DF8">
            <w:pPr>
              <w:widowControl w:val="0"/>
              <w:jc w:val="right"/>
            </w:pPr>
            <w:r w:rsidRPr="00B45DF8">
              <w:t>Уровень поддержки:</w:t>
            </w:r>
          </w:p>
        </w:tc>
        <w:tc>
          <w:tcPr>
            <w:tcW w:w="3688" w:type="dxa"/>
            <w:vAlign w:val="center"/>
          </w:tcPr>
          <w:p w:rsidR="00B45DF8" w:rsidRPr="00B45DF8" w:rsidRDefault="00B45DF8" w:rsidP="00B45DF8">
            <w:pPr>
              <w:widowControl w:val="0"/>
              <w:jc w:val="center"/>
            </w:pPr>
            <w:r w:rsidRPr="00B45DF8">
              <w:t>Стандартный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B45DF8" w:rsidRDefault="00B45DF8" w:rsidP="00B45DF8">
            <w:pPr>
              <w:widowControl w:val="0"/>
              <w:jc w:val="right"/>
            </w:pPr>
            <w:r w:rsidRPr="00B45DF8">
              <w:t>Версия:</w:t>
            </w:r>
          </w:p>
        </w:tc>
        <w:tc>
          <w:tcPr>
            <w:tcW w:w="3688" w:type="dxa"/>
            <w:vAlign w:val="center"/>
          </w:tcPr>
          <w:p w:rsidR="00B45DF8" w:rsidRPr="00B45DF8" w:rsidRDefault="00B45DF8" w:rsidP="00B45DF8">
            <w:pPr>
              <w:widowControl w:val="0"/>
              <w:jc w:val="center"/>
            </w:pPr>
            <w:r w:rsidRPr="00B45DF8">
              <w:t>4</w:t>
            </w:r>
          </w:p>
        </w:tc>
      </w:tr>
      <w:tr w:rsidR="00B45DF8" w:rsidTr="002F02AE">
        <w:trPr>
          <w:trHeight w:val="288"/>
        </w:trPr>
        <w:tc>
          <w:tcPr>
            <w:tcW w:w="838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5224" w:type="dxa"/>
            <w:gridSpan w:val="2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1725" w:type="dxa"/>
            <w:vMerge/>
            <w:vAlign w:val="center"/>
          </w:tcPr>
          <w:p w:rsidR="00B45DF8" w:rsidRDefault="00B45DF8" w:rsidP="00B45DF8">
            <w:pPr>
              <w:widowControl w:val="0"/>
            </w:pPr>
          </w:p>
        </w:tc>
        <w:tc>
          <w:tcPr>
            <w:tcW w:w="3032" w:type="dxa"/>
            <w:vAlign w:val="center"/>
          </w:tcPr>
          <w:p w:rsidR="00B45DF8" w:rsidRPr="00B45DF8" w:rsidRDefault="00B45DF8" w:rsidP="00B45DF8">
            <w:pPr>
              <w:widowControl w:val="0"/>
              <w:jc w:val="right"/>
            </w:pPr>
            <w:r w:rsidRPr="00B45DF8">
              <w:t>Срок действия:</w:t>
            </w:r>
          </w:p>
        </w:tc>
        <w:tc>
          <w:tcPr>
            <w:tcW w:w="3688" w:type="dxa"/>
            <w:vAlign w:val="center"/>
          </w:tcPr>
          <w:p w:rsidR="00B45DF8" w:rsidRPr="00B45DF8" w:rsidRDefault="00B45DF8" w:rsidP="00B45DF8">
            <w:pPr>
              <w:widowControl w:val="0"/>
              <w:jc w:val="center"/>
            </w:pPr>
            <w:r w:rsidRPr="00B45DF8">
              <w:t>Бессрочное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vAlign w:val="center"/>
          </w:tcPr>
          <w:p w:rsidR="00242469" w:rsidRPr="005A214F" w:rsidRDefault="00242469" w:rsidP="00242469">
            <w:pPr>
              <w:widowControl w:val="0"/>
              <w:rPr>
                <w:b/>
              </w:rPr>
            </w:pPr>
            <w:r w:rsidRPr="005A214F">
              <w:rPr>
                <w:b/>
                <w:sz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2730" w:type="dxa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vAlign w:val="center"/>
          </w:tcPr>
          <w:p w:rsidR="00242469" w:rsidRDefault="00242469" w:rsidP="00242469">
            <w:pPr>
              <w:widowControl w:val="0"/>
              <w:rPr>
                <w:szCs w:val="24"/>
              </w:rPr>
            </w:pPr>
            <w:r>
              <w:rPr>
                <w:i/>
                <w:szCs w:val="24"/>
              </w:rPr>
              <w:t>678995, Российская Федерация, Республика Саха (Якутия), г. Нерюнгри, гп. Серебряный Бор, производственная площадка Нерюнгринской ГРЭС.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sz w:val="22"/>
              </w:rPr>
              <w:t>2.2</w:t>
            </w:r>
          </w:p>
        </w:tc>
        <w:tc>
          <w:tcPr>
            <w:tcW w:w="2730" w:type="dxa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vAlign w:val="center"/>
          </w:tcPr>
          <w:p w:rsidR="00242469" w:rsidRDefault="00242469" w:rsidP="00242469">
            <w:pPr>
              <w:widowControl w:val="0"/>
              <w:jc w:val="both"/>
            </w:pPr>
            <w:r>
              <w:rPr>
                <w:i/>
                <w:sz w:val="22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sz w:val="22"/>
              </w:rPr>
              <w:t>2.3</w:t>
            </w:r>
          </w:p>
        </w:tc>
        <w:tc>
          <w:tcPr>
            <w:tcW w:w="13669" w:type="dxa"/>
            <w:gridSpan w:val="5"/>
            <w:vAlign w:val="center"/>
          </w:tcPr>
          <w:p w:rsidR="00242469" w:rsidRDefault="00242469" w:rsidP="00242469">
            <w:pPr>
              <w:widowControl w:val="0"/>
              <w:jc w:val="both"/>
            </w:pPr>
            <w:r>
              <w:rPr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b/>
                <w:i/>
                <w:sz w:val="22"/>
              </w:rPr>
              <w:t>.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vAlign w:val="center"/>
          </w:tcPr>
          <w:p w:rsidR="00242469" w:rsidRDefault="00242469" w:rsidP="00242469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sz w:val="22"/>
              </w:rPr>
              <w:t>3.1</w:t>
            </w:r>
          </w:p>
        </w:tc>
        <w:tc>
          <w:tcPr>
            <w:tcW w:w="2730" w:type="dxa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vAlign w:val="center"/>
          </w:tcPr>
          <w:p w:rsidR="00242469" w:rsidRDefault="00242469" w:rsidP="002F02AE">
            <w:pPr>
              <w:widowControl w:val="0"/>
            </w:pPr>
            <w:r>
              <w:rPr>
                <w:sz w:val="22"/>
              </w:rPr>
              <w:t xml:space="preserve">Не менее </w:t>
            </w:r>
            <w:r w:rsidR="002F02AE">
              <w:rPr>
                <w:sz w:val="22"/>
              </w:rPr>
              <w:t>12</w:t>
            </w:r>
            <w:r>
              <w:rPr>
                <w:sz w:val="22"/>
              </w:rPr>
              <w:t xml:space="preserve"> (</w:t>
            </w:r>
            <w:r w:rsidR="002F02AE">
              <w:rPr>
                <w:sz w:val="22"/>
              </w:rPr>
              <w:t>Двенадцати</w:t>
            </w:r>
            <w:r>
              <w:rPr>
                <w:sz w:val="22"/>
              </w:rPr>
              <w:t>) месяц</w:t>
            </w:r>
            <w:r w:rsidRPr="008B75B7">
              <w:rPr>
                <w:sz w:val="22"/>
              </w:rPr>
              <w:t>ев</w:t>
            </w:r>
            <w:r>
              <w:rPr>
                <w:sz w:val="22"/>
              </w:rPr>
              <w:t xml:space="preserve">, исчисляемый с даты ввода Продукции в эксплуатацию, но не более </w:t>
            </w:r>
            <w:r w:rsidR="002F02AE">
              <w:rPr>
                <w:sz w:val="22"/>
              </w:rPr>
              <w:t>18</w:t>
            </w:r>
            <w:r>
              <w:rPr>
                <w:sz w:val="22"/>
              </w:rPr>
              <w:t xml:space="preserve"> (</w:t>
            </w:r>
            <w:r w:rsidR="002F02AE">
              <w:rPr>
                <w:sz w:val="22"/>
              </w:rPr>
              <w:t>Восемнадцати</w:t>
            </w:r>
            <w:r>
              <w:rPr>
                <w:sz w:val="22"/>
              </w:rPr>
              <w:t>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sz w:val="22"/>
              </w:rPr>
              <w:t>4.1</w:t>
            </w:r>
          </w:p>
        </w:tc>
        <w:tc>
          <w:tcPr>
            <w:tcW w:w="2730" w:type="dxa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vAlign w:val="center"/>
          </w:tcPr>
          <w:p w:rsidR="00242469" w:rsidRDefault="00242469" w:rsidP="00242469">
            <w:pPr>
              <w:widowControl w:val="0"/>
              <w:jc w:val="both"/>
            </w:pPr>
            <w:r>
              <w:rPr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</w:t>
            </w:r>
            <w:r w:rsidRPr="00323FB2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242469" w:rsidTr="002F02AE">
        <w:trPr>
          <w:trHeight w:val="276"/>
        </w:trPr>
        <w:tc>
          <w:tcPr>
            <w:tcW w:w="838" w:type="dxa"/>
            <w:vAlign w:val="center"/>
          </w:tcPr>
          <w:p w:rsidR="00242469" w:rsidRDefault="00242469" w:rsidP="00242469">
            <w:pPr>
              <w:widowControl w:val="0"/>
              <w:jc w:val="center"/>
            </w:pPr>
            <w:r>
              <w:rPr>
                <w:sz w:val="22"/>
              </w:rPr>
              <w:t>5.1</w:t>
            </w:r>
          </w:p>
        </w:tc>
        <w:tc>
          <w:tcPr>
            <w:tcW w:w="13669" w:type="dxa"/>
            <w:gridSpan w:val="5"/>
            <w:vAlign w:val="center"/>
          </w:tcPr>
          <w:p w:rsidR="00242469" w:rsidRDefault="00242469" w:rsidP="00242469">
            <w:pPr>
              <w:widowControl w:val="0"/>
            </w:pPr>
            <w:r>
              <w:rPr>
                <w:i/>
                <w:sz w:val="22"/>
              </w:rPr>
              <w:t>Продукция должна быть новой, ранее не использовавшейся.</w:t>
            </w:r>
          </w:p>
          <w:p w:rsidR="00242469" w:rsidRDefault="00242469" w:rsidP="00242469">
            <w:pPr>
              <w:widowControl w:val="0"/>
              <w:jc w:val="both"/>
            </w:pPr>
            <w:r>
              <w:rPr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242469" w:rsidRDefault="00242469" w:rsidP="00242469">
            <w:pPr>
              <w:widowControl w:val="0"/>
              <w:jc w:val="both"/>
            </w:pPr>
            <w:r>
              <w:rPr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3623D9" w:rsidRDefault="003623D9"/>
    <w:sectPr w:rsidR="003623D9" w:rsidSect="003C0A55">
      <w:footerReference w:type="default" r:id="rId8"/>
      <w:footerReference w:type="first" r:id="rId9"/>
      <w:pgSz w:w="16838" w:h="11906" w:orient="landscape"/>
      <w:pgMar w:top="407" w:right="736" w:bottom="156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09" w:rsidRDefault="008B75B7">
      <w:r>
        <w:separator/>
      </w:r>
    </w:p>
  </w:endnote>
  <w:endnote w:type="continuationSeparator" w:id="0">
    <w:p w:rsidR="00DF6C09" w:rsidRDefault="008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D9" w:rsidRDefault="008B75B7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91AFD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91AFD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D9" w:rsidRDefault="008B75B7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91AFD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91AFD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D9" w:rsidRDefault="003623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09" w:rsidRDefault="008B75B7">
      <w:r>
        <w:separator/>
      </w:r>
    </w:p>
  </w:footnote>
  <w:footnote w:type="continuationSeparator" w:id="0">
    <w:p w:rsidR="00DF6C09" w:rsidRDefault="008B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E26"/>
    <w:multiLevelType w:val="multilevel"/>
    <w:tmpl w:val="4C4ECB2A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5512C"/>
    <w:multiLevelType w:val="multilevel"/>
    <w:tmpl w:val="800A7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1264A3"/>
    <w:multiLevelType w:val="multilevel"/>
    <w:tmpl w:val="FB2C59E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5447BAF"/>
    <w:multiLevelType w:val="multilevel"/>
    <w:tmpl w:val="771AAFF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0700CB8"/>
    <w:multiLevelType w:val="multilevel"/>
    <w:tmpl w:val="4704E4F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66313EF5"/>
    <w:multiLevelType w:val="multilevel"/>
    <w:tmpl w:val="1146F01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AB15F14"/>
    <w:multiLevelType w:val="multilevel"/>
    <w:tmpl w:val="9FC82AD6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3D9"/>
    <w:rsid w:val="00222911"/>
    <w:rsid w:val="00242469"/>
    <w:rsid w:val="002F02AE"/>
    <w:rsid w:val="00323FB2"/>
    <w:rsid w:val="003623D9"/>
    <w:rsid w:val="003C0A55"/>
    <w:rsid w:val="0049248E"/>
    <w:rsid w:val="00613481"/>
    <w:rsid w:val="00791AFD"/>
    <w:rsid w:val="008B75B7"/>
    <w:rsid w:val="008F6161"/>
    <w:rsid w:val="00B45DF8"/>
    <w:rsid w:val="00DF6C09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B456"/>
  <w15:docId w15:val="{860824B3-22FA-412E-946E-E3F57ABA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qFormat/>
    <w:rPr>
      <w:b/>
      <w:bCs/>
    </w:rPr>
  </w:style>
  <w:style w:type="character" w:customStyle="1" w:styleId="afd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qFormat/>
    <w:rPr>
      <w:i/>
      <w:iCs/>
      <w:color w:val="808080"/>
    </w:rPr>
  </w:style>
  <w:style w:type="character" w:styleId="aff4">
    <w:name w:val="Intense Emphasis"/>
    <w:qFormat/>
    <w:rPr>
      <w:b/>
      <w:bCs/>
      <w:i/>
      <w:iCs/>
      <w:color w:val="4F81BD"/>
    </w:rPr>
  </w:style>
  <w:style w:type="character" w:styleId="aff5">
    <w:name w:val="Subtle Reference"/>
    <w:qFormat/>
    <w:rPr>
      <w:smallCaps/>
      <w:color w:val="C0504D"/>
      <w:u w:val="single"/>
    </w:rPr>
  </w:style>
  <w:style w:type="character" w:styleId="af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b">
    <w:name w:val="Абзац списка Знак"/>
    <w:link w:val="affc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afff3">
    <w:name w:val="Текст Знак"/>
    <w:basedOn w:val="a4"/>
    <w:link w:val="afff4"/>
    <w:qFormat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</w:style>
  <w:style w:type="character" w:customStyle="1" w:styleId="extended-textshort">
    <w:name w:val="extended-text__short"/>
    <w:qFormat/>
  </w:style>
  <w:style w:type="character" w:styleId="afff5">
    <w:name w:val="FollowedHyperlink"/>
    <w:rPr>
      <w:color w:val="800080"/>
      <w:u w:val="single"/>
    </w:rPr>
  </w:style>
  <w:style w:type="character" w:customStyle="1" w:styleId="productcode">
    <w:name w:val="product_code"/>
    <w:qFormat/>
  </w:style>
  <w:style w:type="character" w:customStyle="1" w:styleId="add-data-value">
    <w:name w:val="add-data-value"/>
    <w:basedOn w:val="a4"/>
    <w:qFormat/>
  </w:style>
  <w:style w:type="character" w:customStyle="1" w:styleId="extendedtext-short">
    <w:name w:val="extendedtext-short"/>
    <w:qFormat/>
  </w:style>
  <w:style w:type="character" w:customStyle="1" w:styleId="afff6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7">
    <w:name w:val="Strong"/>
    <w:qFormat/>
    <w:rPr>
      <w:b/>
      <w:bCs/>
    </w:rPr>
  </w:style>
  <w:style w:type="paragraph" w:styleId="afff8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9">
    <w:name w:val="List"/>
    <w:basedOn w:val="af3"/>
  </w:style>
  <w:style w:type="paragraph" w:styleId="afffa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b">
    <w:name w:val="index heading"/>
    <w:basedOn w:val="afff8"/>
  </w:style>
  <w:style w:type="paragraph" w:customStyle="1" w:styleId="caption1">
    <w:name w:val="caption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8"/>
    <w:qFormat/>
  </w:style>
  <w:style w:type="paragraph" w:customStyle="1" w:styleId="a1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d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d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f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f0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f1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3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">
    <w:name w:val="Subtitle"/>
    <w:basedOn w:val="a3"/>
    <w:next w:val="a3"/>
    <w:link w:val="afe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qFormat/>
    <w:rPr>
      <w:rFonts w:cs="Times New Roman"/>
      <w:szCs w:val="24"/>
      <w:lang w:val="x-none" w:eastAsia="x-none"/>
    </w:rPr>
  </w:style>
  <w:style w:type="paragraph" w:customStyle="1" w:styleId="affff5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6">
    <w:name w:val="Revision"/>
    <w:qFormat/>
    <w:pPr>
      <w:overflowPunct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7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8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9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a">
    <w:name w:val="Normal (Web)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c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b">
    <w:name w:val="Знак Знак Знак 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e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qFormat/>
    <w:rPr>
      <w:rFonts w:ascii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c">
    <w:name w:val="Стиль1"/>
    <w:qFormat/>
  </w:style>
  <w:style w:type="numbering" w:customStyle="1" w:styleId="2f0">
    <w:name w:val="Стиль2"/>
    <w:qFormat/>
  </w:style>
  <w:style w:type="numbering" w:customStyle="1" w:styleId="1d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3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Лазарев Андрей Васильевич</cp:lastModifiedBy>
  <cp:revision>236</cp:revision>
  <cp:lastPrinted>2023-05-16T09:29:00Z</cp:lastPrinted>
  <dcterms:created xsi:type="dcterms:W3CDTF">2023-05-16T09:21:00Z</dcterms:created>
  <dcterms:modified xsi:type="dcterms:W3CDTF">2026-05-18T15:25:00Z</dcterms:modified>
  <dc:language>ru-RU</dc:language>
</cp:coreProperties>
</file>