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Ж.Н.Доржиев</w:t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«___»____________ 2026 г.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"ОКПД2 20.30.21.130 Лакокрасочные материалы 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для Западных электрических сетей"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6174926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6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7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174927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7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73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17492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75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17492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77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17492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61749279">
            <w:r>
              <w:rPr>
                <w:webHidden/>
                <w:rStyle w:val="Style14"/>
                <w:i/>
                <w:vanish w:val="false"/>
              </w:rPr>
              <w:t>Согласие с требованием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_Toc161749279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61749268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61749269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Лакокрасочные материалы для Западных электрических сетей"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4" w:name="_Toc161749270"/>
      <w:bookmarkStart w:id="5" w:name="_Toc46743507"/>
      <w:r>
        <w:rPr/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4"/>
      <w:r>
        <w:rPr>
          <w:lang w:val="ru-RU"/>
        </w:rPr>
        <w:t xml:space="preserve"> </w:t>
      </w:r>
    </w:p>
    <w:p>
      <w:pPr>
        <w:pStyle w:val="Normal"/>
        <w:rPr>
          <w:i/>
          <w:i/>
          <w:lang w:eastAsia="x-none"/>
        </w:rPr>
      </w:pPr>
      <w:r>
        <w:rPr>
          <w:i/>
          <w:sz w:val="24"/>
          <w:lang w:eastAsia="x-none"/>
        </w:rPr>
        <w:t>Ремонтная программа 2027 года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61749271"/>
      <w:bookmarkStart w:id="8" w:name="_Toc50125126"/>
      <w:bookmarkEnd w:id="8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9" w:name="_Toc16174927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3"/>
        </w:numPr>
        <w:rPr/>
      </w:pPr>
      <w:bookmarkStart w:id="10" w:name="_Toc161749273"/>
      <w:r>
        <w:rPr>
          <w:lang w:val="ru-RU"/>
        </w:rPr>
        <w:t>Перечень и объем закупаемой продукции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161749274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9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3"/>
        <w:gridCol w:w="2496"/>
        <w:gridCol w:w="567"/>
        <w:gridCol w:w="1275"/>
        <w:gridCol w:w="1985"/>
        <w:gridCol w:w="2881"/>
      </w:tblGrid>
      <w:tr>
        <w:trPr>
          <w:trHeight w:val="49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серая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3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желтая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зеленая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красная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ПФ-115 белая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3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красная RAL-2002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желтая RAL-1016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зеленая RAL-6024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белая RAL-9003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серая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3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черная RAL-9011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Ацетон технический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20.30.22.220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Растворитель 646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20.30.22.220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моющее средство для трансформаторов НЕОЛАЙТ 191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20.41.32.110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  <w:tr>
        <w:trPr>
          <w:trHeight w:val="23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Клей 88Н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20.14.62.000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Уайт-спирит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20.30.22.220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Жидкость вязкая изоляционная Винипол ВБ-2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20.41.32.119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Гидроизоляционная мастика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23.99.12.120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Грунтовка акриловая глубокого проникновения для внутренних и наружных 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20.30.12.140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 акриловая интерьерная  матовая белоснежная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20.30.11.120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 акриловая фасадная ВД-АК-1180 белоснежная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20.30.11.120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 алкидная пентафталевая универсальная ПФ-115 голубая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Лак алкидный ПФ-283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20.30.12.110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Лак нитроцеллюлозный для мебели из древесины НЦ-218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20.30.12.110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 ПВА универсальный Эксперт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20.52.10.190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Грунт-эмаль антикоррозионная по ржавчине 3 в 1 серая RAL 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20.30.12.130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  <w:bookmarkStart w:id="13" w:name="_GoBack"/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End w:id="13"/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Штукатурка гипсовая  мешок 30кг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23.64.10.110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 преимущество 15% для российских товаров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Шпатлевка акриловая по дереву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20.30.22.120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 алкидная пентафталевая универсальная ПФ-115 коричневая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водно-дисперсионная для внутренних работ ВДАК-287 супербелая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20.30.11.120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  <w:tr>
        <w:trPr>
          <w:trHeight w:val="247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ПФ-115 голубая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закупки иностранных товаров*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uppressAutoHyphens w:val="true"/>
        <w:spacing w:before="120" w:after="120"/>
        <w:ind w:firstLine="142"/>
        <w:contextualSpacing/>
        <w:rPr>
          <w:bCs/>
          <w:i/>
          <w:i/>
          <w:color w:val="000000" w:themeColor="text1"/>
          <w:sz w:val="22"/>
          <w:szCs w:val="22"/>
          <w:shd w:fill="FFFFFF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  <w:t xml:space="preserve">* </w:t>
      </w:r>
      <w:r>
        <w:rPr>
          <w:bCs/>
          <w:i/>
          <w:color w:val="000000" w:themeColor="text1"/>
          <w:sz w:val="22"/>
          <w:szCs w:val="22"/>
          <w:shd w:fill="FFFFFF" w:val="clear"/>
        </w:rPr>
        <w:t>в соответствии с ПП 1875 подп. "и" п. 5, запрет может не применяться в одном из следующих случаев:</w:t>
      </w:r>
    </w:p>
    <w:p>
      <w:pPr>
        <w:pStyle w:val="Normal"/>
        <w:suppressAutoHyphens w:val="true"/>
        <w:jc w:val="both"/>
        <w:rPr>
          <w:bCs/>
          <w:i/>
          <w:i/>
          <w:color w:val="000000" w:themeColor="text1"/>
          <w:sz w:val="22"/>
          <w:szCs w:val="24"/>
          <w:shd w:fill="FFFFFF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определении;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uppressAutoHyphens w:val="true"/>
        <w:spacing w:before="120" w:after="120"/>
        <w:ind w:firstLine="142"/>
        <w:contextualSpacing/>
        <w:rPr>
          <w:bCs/>
          <w:i/>
          <w:i/>
          <w:color w:val="000000" w:themeColor="text1"/>
          <w:sz w:val="22"/>
          <w:szCs w:val="24"/>
          <w:shd w:fill="FFFFFF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uppressAutoHyphens w:val="true"/>
        <w:spacing w:before="120" w:after="120"/>
        <w:ind w:firstLine="142"/>
        <w:contextualSpacing/>
        <w:rPr/>
      </w:pPr>
      <w:r>
        <w:rPr>
          <w:bCs/>
          <w:i/>
          <w:color w:val="000000" w:themeColor="text1"/>
          <w:sz w:val="22"/>
          <w:szCs w:val="24"/>
          <w:shd w:fill="FFFFFF" w:val="clear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61749276"/>
      <w:bookmarkStart w:id="15" w:name="_Toc51339697"/>
      <w:bookmarkStart w:id="16" w:name="_Toc50125127"/>
      <w:bookmarkStart w:id="17" w:name="_Toc50125126_Копия_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5103"/>
        <w:gridCol w:w="1844"/>
        <w:gridCol w:w="1840"/>
      </w:tblGrid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19" w:name="_Toc46743510"/>
            <w:r>
              <w:rPr>
                <w:b/>
                <w:szCs w:val="22"/>
              </w:rPr>
              <w:t>4</w:t>
            </w:r>
            <w:bookmarkEnd w:id="19"/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серая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желтая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зеленая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Эмаль ПФ-115 красная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ПФ-115 белая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красная RAL-2002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желтая RAL-1016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зеленая RAL-6024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белая RAL-9003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серая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Нитроэмаль НЦ-132 черная RAL-9011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Ацетон технический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Растворитель 646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моющее средство для трансформаторов НЕОЛАЙТ 191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Клей 88Н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Уайт-спирит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Жидкость вязкая изоляционная Винипол ВБ-2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Гидроизоляционная мастика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Грунтовка акриловая глубокого проникновения для внутренних и наружных работ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 акриловая интерьерная  матовая белоснежная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 акриловая фасадная ВД-АК-1180 белоснежная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 алкидная пентафталевая универсальная ПФ-115 голубая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Лак алкидный ПФ-283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Лак нитроцеллюлозный для мебели из древесины НЦ-218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 ПВА универсальный Эксперт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Грунт-эмаль антикоррозионная по ржавчине 3 в 1 серая RAL 7040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Штукатурка гипсовая  мешок 30кг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Шпатлевка акриловая по дереву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 алкидная пентафталевая универсальная ПФ-115 коричневая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водно-дисперсионная для внутренних работ ВДАК-287 супербелая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9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ПФ-115 голубая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161749277"/>
      <w:bookmarkStart w:id="22" w:name="_Toc75446581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1"/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Toc16174927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0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№1-30 Таблицы 1.):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Лакокрасочные материалы для Западных электрических сетей"</w:t>
      </w:r>
    </w:p>
    <w:tbl>
      <w:tblPr>
        <w:tblStyle w:val="af"/>
        <w:tblW w:w="154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2840"/>
        <w:gridCol w:w="6520"/>
        <w:gridCol w:w="1418"/>
        <w:gridCol w:w="2130"/>
        <w:gridCol w:w="1985"/>
      </w:tblGrid>
      <w:tr>
        <w:trPr/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8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5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5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Эмаль ПФ-115 серая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Эмаль ПФ-115 черная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Эмаль ПФ-115 желтая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Эмаль ПФ-115 зеленая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Эмаль ПФ-115 красная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Эмаль ПФ-115 белая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Нитроэмаль НЦ-132 красная RAL-2002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 Фасовка не более 5 кг. ГОСТ 6631-74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Нитроэмаль НЦ-132 желтая RAL-1016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Нитроэмаль НЦ-132 зеленая RAL-6024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 Фасовка не более 5 кг.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ГОСТ 6631-74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Нитроэмаль НЦ-132 белая RAL-9003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 Фасовка не более 5 кг.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ГОСТ 6631-74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Нитроэмаль НЦ-132 серая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 Фасовка не более 5 кг.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ГОСТ 6631-74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Нитроэмаль НЦ-132 черная RAL-9011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 Фасовка не более 5 кг.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ГОСТ 6631-74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Ацетон технический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Внешний вид – бесцветная жидкость. Количество ацетона в веществе – не менее 99,5 %. Количество воды – 0,5 %. Количество кислот – 0,002 %. Количество метилового спирта – 0,15 % ГОСТ 2768-84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Растворитель 646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Летучесть по этиловому эфиру в пределах 8-15. Количество воды (по Фишеру) – до 2%. Плотность растворителя 646 – 0,87 г/см. куб. Кислотное число до 0,06 мг КОН/г. Коагуляция – не меньше 35%. ГОСТ 18188-72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Техническое моющее средство для трансформаторов НЕОЛАЙТ 191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Предназначено для промывки и обезжиривания трансформаторов, представляет собой сбалансированную смесь ПАВ и активирующих добавок. Тара: канистра 5 кг. Эффект: обезжиривает Уровень pH: 10,5-11-,5 Кислотность: щелочное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Клей 88Н</w:t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Прочность –11,5 кГс/см кв. ГОСТ 12172-2016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Уайт-спирит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Бесцветная и прозрачная маслянистая масса, не обладающая ярко выраженным химическим запахом.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температурная точка кипения — +160 °C;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предельная плотность — 0,790 г/см3;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летучесть по ксилолу — от 3 до 4,5;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доля аренов — 16%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содержание серы — 0,025%;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класс опасности — IV.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Жидкость вязкая изоляционная Винипол ВБ-2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Прозрачный однородный продукт от светло-желтого до желтого цвета. Загущающая способность 1% раствора винипола в основе АМГ-10 при температуре -50 ℃ в пределах 28-35% Массовая доля механических примесей, не более 0,07%. Гарантийный срок хранения 6 месяцев.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272727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Гидроизоляционная мастика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Назначение: Гидроизоляционная. Состав: Битумный. Фасовка: ведро 22кг. Водопоглощение в течение 24 ч по массе, не более: 2% Время полного высыхания: 24ч. Массовая доля нелетучих веществ: 70, 85%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Грунтовка акриловая глубокого проникновения для внутренних и наружных работ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Прозрачная жидкость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Вязкость при поставке при Т=20ºС по ВЗ246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100 – 105 KU при Т=25°С по Krebs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Содержание нелетучих веществ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52 - 54%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Плотность при Т=20ºС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1,0-1,03 г/см³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Жизнеспособность при Т=20ºС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4-5 часов при комнатной температуре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Краска акриловая интерьерная  матовая белоснежная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Супербелая акриловая краска. Для жилых и офисных помещений с нормальной влажностью.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Расход л/м2 0,12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Вид покрытия матовый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Вес кг 1,5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Объем м3 0,002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Степень блеска матовый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Вид водоразбавляемая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Основа/база для колеровки А. Тип работ внутренние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Краска акриловая фасадная ВД-АК-1180 белоснежная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Время полного высыхания (полимеризации) — 24 часа. Основа — акриловая смола. Плотность -1,3-1,42 кг/л. Сухой остаток — 70%. Температура нанесения от -20° до +30°. Рабочий диапазон температур готового покрытия от -50° до +70°. Упаковка:  в пластмассовых ведрах по 10 кг.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Эмаль алкидная пентафталевая универсальная ПФ-115 голубая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Лак алкидный ПФ-283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Лак производится согласно ГОСТ 5470-75.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внешний вид пленки — без посторонних включений, прозрачная; блеск согласно блескомеру — 60 %; условная вязкость (по ВЗ-4) при температуре +20 градусов — 40 – 60 с; доля сухого остатка — 50 %; период высыхания при температуре +20 градусов — 36 часов, при +60 градусов — 3 часа; эластичность на изгиб — 1 мм; твердость по маятниковому прибору — 0,35 единицы; стойкость к действию воды — 8 часов.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Лак нитроцеллюлозный для мебели из древесины НЦ-218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Фасовка тары -  металлическая банка 1,7 кг.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Степень блеска - глянцевый.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Цвет прозрачный. Не колеруется.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Разбавитель -  растворитель 646. 647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Время высыхания, ч 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 хранения  12 мес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Клей ПВА универсальный Эксперт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Палитра белый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реакционный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Основа клея ПВА (поливинилацетат)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Склеиваемые материалы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дерево; ДСП; ДВП; МДФ; многослойная фанера; декоративный бумажно-слоистый пластик и шпон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Вид тары ведро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Фасовка по 3 кг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Грунт-эмаль антикоррозионная по ржавчине 3 в 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серая RAL 7040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Основа материала Алкидно-уретановая основа, антикоррозионные добавки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Внешний вид пленки Однородная полуглянцевая поверхность, допускается незначительная шагрень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Массовая доля нелетучих веществ, %</w:t>
              <w:tab/>
              <w:t>60-65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Степень перетира, мкм, не более 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Условная вязкость по В3-246 (сопло 4), сек, не менее 60-120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Штукатурка гипсовая  мешок 30кг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Толщина штукатурного слоя: Минимальная 5 мм, Максимальная 50 мм</w:t>
              <w:br/>
              <w:t>Насыпной вес 640–770 кг/м3</w:t>
              <w:br/>
              <w:t>Зернистость до 1,2 мм</w:t>
              <w:br/>
              <w:t>Выход раствора: Из 100 кг смеси ~120 л</w:t>
              <w:br/>
              <w:t>Расход ~ 8,5 кг/м2</w:t>
              <w:br/>
              <w:t>Высыхание ~ 7 суток</w:t>
              <w:br/>
              <w:t>Прочность: На сжатие &gt; 2,5 МПа, На изгиб &gt; 1,0 МПа</w:t>
              <w:br/>
              <w:t>Коэфф. теплопроводности 0,25 Вт/м • 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Шпатлевка акриловая по дереву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Расход: 1,2 кг/м2 (слой 1 мм)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Толщина слоя: 0,2 - 4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Размер частиц (средний): 50 мкм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Рабочая температура: 10-30°С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Фасовка: мешок 20 кг и 10 кг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хранения: 18 месяцев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72727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Эмаль алкидная пентафталевая универсальная ПФ-115 коричневая</w:t>
            </w:r>
          </w:p>
        </w:tc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водно-дисперсионная для внутренних работ ВДАК-287 супербелая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Краска ВД АК-287 интерьерная моющаяся 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ГОСТ 28196-89</w:t>
              <w:br/>
              <w:t>Краска водно-дисперсионная, акриловая интерьерная моющаяся. Материал экологически полноценный, пожара безопасный, практически не имеет запаха, после высыхания образует ровное матовое, паропроницаемое покрытие.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Покрытие не мелит, скрывает мелкие дефекты окрашиваемой поверхности. Покрытие устойчиво к истиранию, допускается влажная уборка с помощью мягкой поролоновой губки и неабразивных моющих средств на водной основе.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Время высыхания: Время высыхания каждого слоя при температуре (+20±2)⁰С 1 час, при более низкой температуре время высыхания увеличивается. Материал полностью набирает заданные свойства через 2 суток. </w:t>
              <w:br/>
              <w:t>Расход: Ориентировочный расход краски на один слой от 150 г/м²,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Фасовка: ведро 15 кг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ind w:left="746" w:hanging="70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Эмаль ПФ-115 голубая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60г/кв.м. Фасовка не более 5 кг. ГОСТ 6465-76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432" w:hanging="432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 к качеству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новая, ранее не используемая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both"/>
              <w:rPr>
                <w:strike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432" w:hanging="432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Год выпуска продукции (оборудования)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2026-2027 гг.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филиал Западные электрические сети ЗЭС ПАО "Якутскэнерго", 678170, Республика Саха (Якутия), г.Мирный, Ленинградский пр., 5/2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ГОСТ 15150-69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bookmarkStart w:id="25" w:name="_Toc161749279"/>
            <w:bookmarkStart w:id="26" w:name="_Toc161746140"/>
            <w:bookmarkStart w:id="27" w:name="_Toc137114622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25"/>
            <w:bookmarkEnd w:id="26"/>
            <w:bookmarkEnd w:id="27"/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Поставка Лакокрасочной продукции  по поз № 1-32 Таблицы 1. «Перечень и объем закупаемого товара»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</w:tr>
    </w:tbl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  <w:t>Начальник СППР _____________________ /Николаев Р.А.</w:t>
      </w:r>
    </w:p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bookmarkStart w:id="28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28"/>
      <w:r>
        <w:rPr>
          <w:i/>
          <w:iCs/>
          <w:sz w:val="22"/>
          <w:szCs w:val="22"/>
        </w:rPr>
        <w:t>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4 кв. 2026г.), ранее неиспользованный;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737" w:footer="0" w:bottom="28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A4AC-E6A3-4CD1-B6C4-2FF7103E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Application>AlterOffice/3.4.0.9$Linux_X86_64 LibreOffice_project/b8daf9e823b1a5463a2f48435ddc2e8696e7d4fc</Application>
  <AppVersion>15.0000</AppVersion>
  <Pages>12</Pages>
  <Words>2826</Words>
  <Characters>18057</Characters>
  <CharactersWithSpaces>20386</CharactersWithSpaces>
  <Paragraphs>557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2023-02-28T01:07:00Z</dcterms:created>
  <dc:creator>Быстров Олег Геннадьевич</dc:creator>
  <dc:description/>
  <dc:language>ru-RU</dc:language>
  <cp:lastModifiedBy>shmelevamg</cp:lastModifiedBy>
  <cp:lastPrinted>2026-03-12T06:24:00Z</cp:lastPrinted>
  <dcterms:modified xsi:type="dcterms:W3CDTF">2026-05-19T10:35:15Z</dcterms:modified>
  <cp:revision>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