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widowControl w:val="false"/>
        <w:spacing w:lineRule="auto" w:line="240"/>
        <w:ind w:firstLine="540"/>
        <w:rPr/>
      </w:pPr>
      <w:r>
        <w:rPr>
          <w:color w:val="000000"/>
        </w:rPr>
        <w:t xml:space="preserve">                                                                             </w:t>
      </w:r>
      <w:r>
        <w:rPr>
          <w:bCs/>
          <w:color w:val="000000"/>
        </w:rPr>
        <w:t xml:space="preserve">Приложение </w:t>
      </w:r>
      <w:r>
        <w:rPr>
          <w:bCs/>
          <w:color w:val="000000"/>
        </w:rPr>
        <w:t>2</w:t>
      </w:r>
    </w:p>
    <w:p>
      <w:pPr>
        <w:pStyle w:val="Style24"/>
        <w:widowControl w:val="false"/>
        <w:tabs>
          <w:tab w:val="clear" w:pos="708"/>
          <w:tab w:val="left" w:pos="6946" w:leader="none"/>
        </w:tabs>
        <w:spacing w:lineRule="auto" w:line="240"/>
        <w:ind w:firstLine="5103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к Техническим требованиям</w:t>
      </w:r>
    </w:p>
    <w:p>
      <w:pPr>
        <w:pStyle w:val="Style24"/>
        <w:widowControl w:val="false"/>
        <w:tabs>
          <w:tab w:val="clear" w:pos="708"/>
          <w:tab w:val="left" w:pos="6946" w:leader="none"/>
        </w:tabs>
        <w:spacing w:lineRule="auto" w:line="240"/>
        <w:ind w:firstLine="5103"/>
        <w:rPr>
          <w:bCs/>
          <w:color w:val="000000"/>
        </w:rPr>
      </w:pPr>
      <w:r>
        <w:rPr/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</w:p>
    <w:p>
      <w:pPr>
        <w:pStyle w:val="Style24"/>
        <w:widowControl w:val="false"/>
        <w:spacing w:lineRule="auto" w:line="240"/>
        <w:ind w:hanging="0"/>
        <w:jc w:val="center"/>
        <w:rPr/>
      </w:pPr>
      <w:r>
        <w:rPr>
          <w:color w:val="000000"/>
          <w:sz w:val="28"/>
          <w:szCs w:val="28"/>
        </w:rPr>
        <w:t>о входном контроле материально-технических ресурсов</w:t>
      </w:r>
    </w:p>
    <w:p>
      <w:pPr>
        <w:pStyle w:val="Style24"/>
        <w:widowControl w:val="false"/>
        <w:spacing w:lineRule="auto" w:line="240"/>
        <w:ind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Филиала ПАО «РусГидро» - Саратовская ГЭС»</w:t>
      </w:r>
    </w:p>
    <w:p>
      <w:pPr>
        <w:pStyle w:val="Style24"/>
        <w:widowControl w:val="false"/>
        <w:spacing w:lineRule="auto" w:line="24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Style24"/>
        <w:widowControl w:val="false"/>
        <w:spacing w:lineRule="auto" w:line="240"/>
        <w:ind w:firstLine="540"/>
        <w:rPr>
          <w:color w:val="000000"/>
        </w:rPr>
      </w:pPr>
      <w:r>
        <w:rPr>
          <w:color w:val="000000"/>
        </w:rPr>
      </w:r>
    </w:p>
    <w:p>
      <w:pPr>
        <w:pStyle w:val="12"/>
        <w:jc w:val="center"/>
        <w:rPr>
          <w:color w:val="000000"/>
        </w:rPr>
      </w:pPr>
      <w:r>
        <w:rPr>
          <w:color w:val="000000"/>
        </w:rPr>
      </w:r>
    </w:p>
    <w:p>
      <w:pPr>
        <w:pStyle w:val="12"/>
        <w:jc w:val="center"/>
        <w:rPr/>
      </w:pPr>
      <w:r>
        <w:rPr/>
        <w:t>СОДЕРЖАНИЕ</w:t>
      </w:r>
    </w:p>
    <w:p>
      <w:pPr>
        <w:pStyle w:val="12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2"/>
            <w:jc w:val="both"/>
            <w:rPr>
              <w:b w:val="false"/>
              <w:lang w:val="ru-RU" w:eastAsia="ru-RU"/>
            </w:rPr>
          </w:pPr>
          <w:r>
            <w:fldChar w:fldCharType="begin"/>
          </w:r>
          <w:r>
            <w:rPr>
              <w:smallCaps/>
              <w:b w:val="false"/>
              <w:lang w:val="ru-RU" w:eastAsia="ru-RU"/>
            </w:rPr>
            <w:instrText xml:space="preserve"> TOC \o "1-1" \h \z </w:instrText>
          </w:r>
          <w:r>
            <w:rPr>
              <w:smallCaps/>
              <w:b w:val="false"/>
              <w:lang w:val="ru-RU" w:eastAsia="ru-RU"/>
            </w:rPr>
            <w:fldChar w:fldCharType="separate"/>
          </w:r>
          <w:hyperlink w:anchor="__RefHeading___Toc151368100">
            <w:r>
              <w:rPr>
                <w:b w:val="false"/>
                <w:smallCaps/>
                <w:lang w:val="ru-RU" w:eastAsia="ru-RU"/>
              </w:rPr>
              <w:t xml:space="preserve">РАЗДЕЛ </w:t>
            </w:r>
            <w:r>
              <w:rPr>
                <w:b w:val="false"/>
                <w:smallCaps/>
                <w:lang w:val="en-US" w:eastAsia="ru-RU"/>
              </w:rPr>
              <w:t>I</w:t>
            </w:r>
            <w:r>
              <w:rPr>
                <w:b w:val="false"/>
                <w:smallCaps/>
                <w:lang w:val="ru-RU" w:eastAsia="ru-RU"/>
              </w:rPr>
              <w:t>. ОБЩИЕ ПОЛОЖЕНИЯ…………………………………………………………….3</w:t>
            </w:r>
          </w:hyperlink>
        </w:p>
        <w:p>
          <w:pPr>
            <w:pStyle w:val="12"/>
            <w:jc w:val="both"/>
            <w:rPr>
              <w:b w:val="false"/>
              <w:lang w:val="ru-RU" w:eastAsia="ru-RU"/>
            </w:rPr>
          </w:pPr>
          <w:hyperlink w:anchor="__RefHeading___Toc151368101">
            <w:r>
              <w:rPr>
                <w:b w:val="false"/>
                <w:lang w:val="ru-RU" w:eastAsia="ru-RU"/>
              </w:rPr>
              <w:t>Глава 1. Цель, назначение и область применения……………………………………………..3</w:t>
            </w:r>
          </w:hyperlink>
        </w:p>
        <w:p>
          <w:pPr>
            <w:pStyle w:val="12"/>
            <w:jc w:val="both"/>
            <w:rPr>
              <w:b w:val="false"/>
              <w:lang w:val="ru-RU" w:eastAsia="ru-RU"/>
            </w:rPr>
          </w:pPr>
          <w:r>
            <w:rPr>
              <w:b w:val="false"/>
              <w:lang w:val="ru-RU" w:eastAsia="ru-RU"/>
            </w:rPr>
            <w:t xml:space="preserve">РАЗДЕЛ </w:t>
          </w:r>
          <w:r>
            <w:rPr>
              <w:b w:val="false"/>
              <w:lang w:val="en-US" w:eastAsia="ru-RU"/>
            </w:rPr>
            <w:t>II</w:t>
          </w:r>
          <w:r>
            <w:rPr>
              <w:b w:val="false"/>
              <w:lang w:val="ru-RU" w:eastAsia="ru-RU"/>
            </w:rPr>
            <w:t>. ПРОЦЕДУРА ВХОДНОГО КОНТРОЛЯ………………………………………...</w:t>
          </w:r>
          <w:hyperlink w:anchor="__RefHeading___Toc151368105">
            <w:r>
              <w:rPr>
                <w:b w:val="false"/>
                <w:lang w:val="ru-RU" w:eastAsia="ru-RU"/>
              </w:rPr>
              <w:t>3</w:t>
            </w:r>
          </w:hyperlink>
        </w:p>
        <w:p>
          <w:pPr>
            <w:pStyle w:val="12"/>
            <w:jc w:val="both"/>
            <w:rPr>
              <w:b w:val="false"/>
            </w:rPr>
          </w:pPr>
          <w:r>
            <w:rPr>
              <w:b w:val="false"/>
            </w:rPr>
            <w:t>Глава 2. Цель и задачи входного контроля…………………………………………………….3</w:t>
          </w:r>
        </w:p>
        <w:p>
          <w:pPr>
            <w:pStyle w:val="12"/>
            <w:jc w:val="both"/>
            <w:rPr>
              <w:b w:val="false"/>
            </w:rPr>
          </w:pPr>
          <w:r>
            <w:rPr>
              <w:b w:val="false"/>
            </w:rPr>
            <w:t>Глава 3. Организация входного контроля</w:t>
            <w:tab/>
            <w:t>……………………………………………………...3</w:t>
          </w:r>
        </w:p>
        <w:p>
          <w:pPr>
            <w:pStyle w:val="12"/>
            <w:jc w:val="both"/>
            <w:rPr>
              <w:b w:val="false"/>
              <w:lang w:val="ru-RU" w:eastAsia="ru-RU"/>
            </w:rPr>
          </w:pPr>
          <w:hyperlink w:anchor="__RefHeading___Toc151368107">
            <w:r>
              <w:rPr>
                <w:b w:val="false"/>
                <w:lang w:val="ru-RU" w:eastAsia="ru-RU"/>
              </w:rPr>
              <w:t>Глава 4. Методы проведения входного контроля……………………………………………...5</w:t>
            </w:r>
          </w:hyperlink>
        </w:p>
        <w:p>
          <w:pPr>
            <w:pStyle w:val="12"/>
            <w:jc w:val="both"/>
            <w:rPr/>
          </w:pPr>
          <w:r>
            <w:rPr>
              <w:b w:val="false"/>
            </w:rPr>
            <w:t xml:space="preserve">Глава 5. Ответственность...……………………………………………………………………...6 </w:t>
          </w:r>
        </w:p>
        <w:p>
          <w:pPr>
            <w:pStyle w:val="12"/>
            <w:jc w:val="both"/>
            <w:rPr>
              <w:b w:val="false"/>
            </w:rPr>
          </w:pPr>
          <w:r>
            <w:rPr>
              <w:b w:val="false"/>
            </w:rPr>
            <w:t>ПРИЛОЖЕНИЯ………...……………………………………………………………………......7</w:t>
          </w:r>
        </w:p>
        <w:p>
          <w:pPr>
            <w:pStyle w:val="12"/>
            <w:rPr>
              <w:b w:val="false"/>
            </w:rPr>
          </w:pPr>
          <w:r>
            <w:rPr>
              <w:b w:val="false"/>
            </w:rPr>
          </w:r>
          <w:r>
            <w:rPr>
              <w:b w:val="false"/>
            </w:rPr>
            <w:fldChar w:fldCharType="end"/>
          </w:r>
        </w:p>
      </w:sdtContent>
    </w:sdt>
    <w:p>
      <w:pPr>
        <w:pStyle w:val="12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ГЛОССАРИЙ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Термины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Продукция - 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ырье, материалы, оборудование, комплектующие изделия и другие ресурсы, закупаемые Филиалом  и используемые в процессе осуществления производственно-хозяйственной деятельности Филиала.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Поставщик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организация–производитель или продавец, поставляющий продукцию.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Соответствие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выполнение установленных требований.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Несоответствие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невыполнение установленных требований.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Несоответствующая продукция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продукция, не отвечающая требованиям,  установленным в нормативной, технической, конструкторской документации или договорным условиям.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Приемка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проверка груза материально-ответственным лицом на соответствие условиям договора по номенклатуре, объему поставки, требованиям к упаковке, наличию сопроводительной документации и другим методом визуального контроля.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Входной контроль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контроль продукции поставщика, поступающей в Филиал, на соответствие требованиям нормативной, технической, конструкторской документации и требованиям договора с помощью проведения измерений, испытаний, химического анализа и др.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Партия продукции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 продукция, поступившая в Филиал, одного наименования, одного типоразмера с одинаковыми свойствами, и техническими характеристиками от одного Поставщика по одному сопроводительному документу. Разные партии продукции могут быть упакованы в одно тарное место с обязательным разделением партий. Одна партия продукции может состоять из нескольких тарных мест.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Подрядная организация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организация или лицо, предоставляющее услуги либо выполняющее работы по договору для нужд Филиала.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Нормативно-техническая документация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документация, устанавливающая правила, общие принципы или характеристики, касающиеся различных видов деятельности или их результатов. К нормативной документации относятся международные стандарты, межгосударственные стандарты, стандарты отрасли, стандарты предприятия.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Техническая документация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документация, которая разрабатывается по решению разработчика (изготовителя) или по требованию заказчика (потребителя) продукции, содержащая требования к продукции или процессу ее изготовления. К технической документации относятся технические условия, технологические регламенты, технические описания и т.п.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Сокращения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Общество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ПАО «РусГидро».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Филиал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 Филиал ПАО «РусГидро» - «Саратовская ГЭС»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НТД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Нормативно-техническая документация.</w:t>
      </w:r>
    </w:p>
    <w:p>
      <w:pPr>
        <w:pStyle w:val="1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2"/>
        <w:jc w:val="center"/>
        <w:rPr/>
      </w:pPr>
      <w:r>
        <w:rPr/>
        <w:t xml:space="preserve">РАЗДЕЛ </w:t>
      </w:r>
      <w:r>
        <w:rPr>
          <w:lang w:val="en-US"/>
        </w:rPr>
        <w:t>I</w:t>
      </w:r>
      <w:r>
        <w:rPr/>
        <w:t>. ОБЩИЕ ПОЛОЖЕНИЯ.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12"/>
        <w:rPr/>
      </w:pPr>
      <w:r>
        <w:rPr/>
        <w:t>Глава 1. Цель, назначение и область применения.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Настоящее Положение устанавливает основные требования по организации, проведению и оформлению результатов входного контроля продукции, предназначенной для основного производства.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Положение определяет функции, полномочия и ответственность персонала подразделений и служб Филиала, участвующих во входном контроле продукции.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настоящего Положения распространяются на продукцию, которую Филиал получает в ходе производственно-хозяйственной деятельности, в том числе при выполнении подрядными организациями работ по ремонту, техническому обслуживанию, техническому перевооружению и реконструкции, включая работы под «ключ».</w:t>
      </w:r>
    </w:p>
    <w:p>
      <w:pPr>
        <w:pStyle w:val="Normal"/>
        <w:numPr>
          <w:ilvl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1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t>РАЗДЕЛ II. ПРОЦЕДУРА ВХОДНОГО КОНТРОЛЯ.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t>Глава 2. Цель и задачи входного контроля.</w:t>
      </w:r>
    </w:p>
    <w:p>
      <w:pPr>
        <w:pStyle w:val="Style18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 входным контролем следует понимать контроль качества продукции, на соответствие НТД и условиям Договора, заключенного с Поставщиком, предназначаемой для её дальнейшего использования для доработки, монтажа, ремонта или эксплуатации.</w:t>
      </w:r>
    </w:p>
    <w:p>
      <w:pPr>
        <w:pStyle w:val="Style18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Целью входного контроля является предотвращение запуска в производство или ремонт продукции, не соответствующей установленным требованиям.</w:t>
      </w:r>
    </w:p>
    <w:p>
      <w:pPr>
        <w:pStyle w:val="Style18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Задачи входного контроля: </w:t>
      </w:r>
    </w:p>
    <w:p>
      <w:pPr>
        <w:pStyle w:val="Normal"/>
        <w:widowControl w:val="false"/>
        <w:numPr>
          <w:ilvl w:val="1"/>
        </w:numPr>
        <w:tabs>
          <w:tab w:val="clear" w:pos="708"/>
          <w:tab w:val="left" w:pos="426" w:leader="none"/>
          <w:tab w:val="left" w:pos="540" w:leader="none"/>
        </w:tabs>
        <w:suppressAutoHyphens w:val="true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получение с большой достоверностью оценки качества продукции, предъявляемой на контроль;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540" w:leader="none"/>
          <w:tab w:val="left" w:pos="720" w:leader="none"/>
        </w:tabs>
        <w:suppressAutoHyphens w:val="true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обеспечение однозначности взаимного признания результатов оценки качества продукции Поставщиком и Потребителем, осуществляемой по одним и тем же методикам и по одним и тем же планам контроля;</w:t>
      </w:r>
    </w:p>
    <w:p>
      <w:pPr>
        <w:pStyle w:val="Normal"/>
        <w:widowControl w:val="false"/>
        <w:tabs>
          <w:tab w:val="clear" w:pos="708"/>
          <w:tab w:val="left" w:pos="360" w:leader="none"/>
          <w:tab w:val="left" w:pos="426" w:leader="none"/>
          <w:tab w:val="left" w:pos="540" w:leader="none"/>
        </w:tabs>
        <w:suppressAutoHyphens w:val="true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установление соответствия качества продукции установленным требованиям с целью своевременного предъявления претензий Поставщикам, а также для оперативной работы с поставщиками по обеспечению требуемого уровня качества продукции.</w:t>
      </w:r>
    </w:p>
    <w:p>
      <w:pPr>
        <w:pStyle w:val="Style18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Контролируемые параметры, вид контроля, объем выборки или пробы, определяются в зависимости от вида продукции, подлежащей входному контролю.</w:t>
      </w:r>
    </w:p>
    <w:p>
      <w:pPr>
        <w:pStyle w:val="Normal"/>
        <w:numPr>
          <w:ilvl w:val="1"/>
        </w:numPr>
        <w:spacing w:lineRule="auto" w:line="240" w:before="120" w:after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_RefHeading___Toc151368105"/>
      <w:r>
        <w:rPr/>
        <w:t>Глава 3. Организация входного контроля</w:t>
      </w:r>
      <w:bookmarkEnd w:id="0"/>
      <w:r>
        <w:rPr/>
        <w:t>.</w:t>
      </w:r>
    </w:p>
    <w:p>
      <w:pPr>
        <w:pStyle w:val="Style18"/>
        <w:numPr>
          <w:ilvl w:val="1"/>
          <w:numId w:val="6"/>
        </w:numPr>
        <w:tabs>
          <w:tab w:val="clear" w:pos="708"/>
          <w:tab w:val="left" w:pos="426" w:leader="none"/>
          <w:tab w:val="left" w:pos="540" w:leader="none"/>
          <w:tab w:val="left" w:pos="720" w:leader="none"/>
          <w:tab w:val="left" w:pos="900" w:leader="none"/>
        </w:tabs>
        <w:spacing w:lineRule="auto" w:line="240" w:before="120" w:after="6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к качеству продукции и порядок проведения входного контроля при необходимости могут определяться в Договоре поставки и Договоре подряда.</w:t>
      </w:r>
    </w:p>
    <w:p>
      <w:pPr>
        <w:pStyle w:val="Style18"/>
        <w:numPr>
          <w:ilvl w:val="1"/>
          <w:numId w:val="6"/>
        </w:numPr>
        <w:tabs>
          <w:tab w:val="clear" w:pos="708"/>
          <w:tab w:val="left" w:pos="426" w:leader="none"/>
          <w:tab w:val="left" w:pos="540" w:leader="none"/>
          <w:tab w:val="left" w:pos="720" w:leader="none"/>
          <w:tab w:val="left" w:pos="900" w:leader="none"/>
        </w:tabs>
        <w:spacing w:lineRule="auto" w:line="240" w:before="120" w:after="6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отдельных случаях в проведении  входного контроля или испытаний в рамках входного контроля может  участвовать  представитель Подрядной организации. </w:t>
      </w:r>
    </w:p>
    <w:p>
      <w:pPr>
        <w:pStyle w:val="Style18"/>
        <w:widowControl w:val="false"/>
        <w:numPr>
          <w:ilvl w:val="1"/>
          <w:numId w:val="6"/>
        </w:numPr>
        <w:tabs>
          <w:tab w:val="clear" w:pos="708"/>
          <w:tab w:val="left" w:pos="426" w:leader="none"/>
          <w:tab w:val="left" w:pos="540" w:leader="none"/>
          <w:tab w:val="left" w:pos="900" w:leader="none"/>
        </w:tabs>
        <w:suppressAutoHyphens w:val="true"/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входному контролю должна поступать продукция, принятая ОТК Поставщика и поступившая к Потребителю с сопроводительной документацией, оформленной в установленном порядке.</w:t>
      </w:r>
    </w:p>
    <w:p>
      <w:pPr>
        <w:pStyle w:val="Style18"/>
        <w:widowControl w:val="false"/>
        <w:numPr>
          <w:ilvl w:val="1"/>
          <w:numId w:val="6"/>
        </w:numPr>
        <w:tabs>
          <w:tab w:val="clear" w:pos="708"/>
          <w:tab w:val="left" w:pos="426" w:leader="none"/>
        </w:tabs>
        <w:suppressAutoHyphens w:val="true"/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Продукция, поступившая от Поставщика до проведения входного контроля должна храниться отдельно от принятой или забракованной на входном контроле.</w:t>
      </w:r>
    </w:p>
    <w:p>
      <w:pPr>
        <w:pStyle w:val="Style18"/>
        <w:numPr>
          <w:ilvl w:val="1"/>
          <w:numId w:val="6"/>
        </w:numPr>
        <w:tabs>
          <w:tab w:val="clear" w:pos="708"/>
          <w:tab w:val="left" w:pos="426" w:leader="none"/>
          <w:tab w:val="left" w:pos="54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Входной контроль Продукции проводиться в любой момент, от  приемки продукции в сроки, предусмотренные договором поставки или подряда, и до запуска в производство, но обязательно до истечения гарантийного срока. </w:t>
      </w:r>
    </w:p>
    <w:p>
      <w:pPr>
        <w:pStyle w:val="Style18"/>
        <w:widowControl w:val="false"/>
        <w:numPr>
          <w:ilvl w:val="1"/>
          <w:numId w:val="6"/>
        </w:numPr>
        <w:tabs>
          <w:tab w:val="clear" w:pos="708"/>
          <w:tab w:val="left" w:pos="426" w:leader="none"/>
          <w:tab w:val="left" w:pos="540" w:leader="none"/>
        </w:tabs>
        <w:suppressAutoHyphens w:val="true"/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Входной контроль проводится в два этапа:</w:t>
      </w:r>
    </w:p>
    <w:p>
      <w:pPr>
        <w:pStyle w:val="Normal"/>
        <w:widowControl w:val="false"/>
        <w:numPr>
          <w:ilvl w:val="1"/>
        </w:numPr>
        <w:tabs>
          <w:tab w:val="clear" w:pos="708"/>
          <w:tab w:val="left" w:pos="426" w:leader="none"/>
        </w:tabs>
        <w:suppressAutoHyphens w:val="true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 первом этапе осуществляется внешний осмотр продукции и наличие сопроводительных документов, в том числе и ее комплектности;</w:t>
      </w:r>
    </w:p>
    <w:p>
      <w:pPr>
        <w:pStyle w:val="Normal"/>
        <w:tabs>
          <w:tab w:val="clear" w:pos="708"/>
          <w:tab w:val="left" w:pos="426" w:leader="none"/>
          <w:tab w:val="left" w:pos="540" w:leader="none"/>
          <w:tab w:val="left" w:pos="720" w:leader="none"/>
          <w:tab w:val="left" w:pos="900" w:leader="none"/>
        </w:tabs>
        <w:spacing w:lineRule="auto" w:line="240" w:before="120" w:after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 втором этапе проверка качественных характеристик продукции.</w:t>
      </w:r>
    </w:p>
    <w:p>
      <w:pPr>
        <w:pStyle w:val="TOC5"/>
        <w:numPr>
          <w:ilvl w:val="1"/>
          <w:numId w:val="6"/>
        </w:numPr>
        <w:tabs>
          <w:tab w:val="clear" w:pos="708"/>
          <w:tab w:val="left" w:pos="426" w:leader="none"/>
        </w:tabs>
        <w:ind w:left="0" w:hanging="0"/>
        <w:rPr/>
      </w:pPr>
      <w:r>
        <w:rPr/>
        <w:t>Входной контроль по характеристикам качества продукции осуществляется испытательными подразделениями или специализированными организациями. Для этого от поступившей партии продукции отбираются образцы или пробы для контроля или испытаний специалистам соответствующего подразделения (организации).</w:t>
      </w:r>
    </w:p>
    <w:p>
      <w:pPr>
        <w:pStyle w:val="03"/>
        <w:numPr>
          <w:ilvl w:val="1"/>
          <w:numId w:val="6"/>
        </w:numPr>
        <w:tabs>
          <w:tab w:val="clear" w:pos="708"/>
          <w:tab w:val="left" w:pos="426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  <w:t>Отбор проб и образцов для проведения входного контроля:</w:t>
      </w:r>
    </w:p>
    <w:p>
      <w:pPr>
        <w:pStyle w:val="Style18"/>
        <w:numPr>
          <w:ilvl w:val="2"/>
          <w:numId w:val="6"/>
        </w:numPr>
        <w:tabs>
          <w:tab w:val="clear" w:pos="708"/>
          <w:tab w:val="left" w:pos="567" w:leader="none"/>
          <w:tab w:val="left" w:pos="900" w:leader="none"/>
        </w:tabs>
        <w:spacing w:lineRule="auto" w:line="240" w:before="120" w:after="6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Отбор проб и выборок осуществляется согласно требованиям ГОСТ (другого нормативного документа) для данной номенклатуры продукции и условиям договора поставки.</w:t>
      </w:r>
    </w:p>
    <w:p>
      <w:pPr>
        <w:pStyle w:val="Style18"/>
        <w:numPr>
          <w:ilvl w:val="2"/>
          <w:numId w:val="6"/>
        </w:numPr>
        <w:tabs>
          <w:tab w:val="clear" w:pos="708"/>
          <w:tab w:val="left" w:pos="567" w:leader="none"/>
          <w:tab w:val="left" w:pos="900" w:leader="none"/>
        </w:tabs>
        <w:spacing w:lineRule="auto" w:line="240" w:before="120" w:after="6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Подготовка к отбору проб и выборок поступающей в Филиал продукции (вскрытие тары и др.) выполняется материально-ответственным лицом Филиала.</w:t>
      </w:r>
    </w:p>
    <w:p>
      <w:pPr>
        <w:pStyle w:val="Style18"/>
        <w:numPr>
          <w:ilvl w:val="2"/>
          <w:numId w:val="6"/>
        </w:numPr>
        <w:tabs>
          <w:tab w:val="clear" w:pos="708"/>
          <w:tab w:val="left" w:pos="567" w:leader="none"/>
          <w:tab w:val="left" w:pos="900" w:leader="none"/>
        </w:tabs>
        <w:spacing w:lineRule="auto" w:line="240" w:before="120" w:after="6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Проба или выборка продукции с входного контроля передается на испытания в испытательные подразделения или специализированную организацию. </w:t>
      </w:r>
    </w:p>
    <w:p>
      <w:pPr>
        <w:pStyle w:val="03"/>
        <w:numPr>
          <w:ilvl w:val="1"/>
          <w:numId w:val="6"/>
        </w:numPr>
        <w:tabs>
          <w:tab w:val="clear" w:pos="708"/>
          <w:tab w:val="left" w:pos="426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  <w:t>Проведение испытаний:</w:t>
      </w:r>
    </w:p>
    <w:p>
      <w:pPr>
        <w:pStyle w:val="03"/>
        <w:numPr>
          <w:ilvl w:val="2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Отобранные пробы продукции испытываются в соответствии с требованиями стандартов и методических указаний для данного вида продукции. </w:t>
      </w:r>
    </w:p>
    <w:p>
      <w:pPr>
        <w:pStyle w:val="03"/>
        <w:numPr>
          <w:ilvl w:val="2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Испытания проводятся персоналом лабораторий и подразделений соответствующей специализации и квалификации, либо специализированными подрядными организациями.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Входной контроль проводится по параметрам (требованиям), установленным в  НТД на контролируемую продукцию. Входной контроль продукции по параметрам, не установленным в НТД, договорах или контрактах на поставку, может проводиться без согласования с поставщиком для своих внутренних целей без права предъявления по ним претензий Поставщику.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Методы и средства измерений должны соответствовать требованиям стандартов и методических указаний для данного вида продукции и обеспечивать необходимую точность и воспроизводимость результатов испытаний. Если средства контроля или измерений, а также методы контроля и испытаний отличаются от указанных в НТД, то необходимо согласовывать их с Поставщиком, с целью обеспечения однозначности результатов оценки качества продукции.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Последовательность входного контроля должна быть такой, при которой контроль одних контролируемых параметров продукции не приводил бы к изменению других, а также неисправимые дефекты, по возможности, обнаруживались на более ранних этапах входного контроля.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Средства измерений должны быть поверены или калиброваны, испытательное оборудование аттестовано согласно  общим требованиям и ГОСТам к средствам измерений.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>Если по результатам проверки выявляется несоответствие требованиям НТД хотя бы по одному параметру продукции, то проводится повторная проверка (если другое не оговорено в НТД или в договоре), и результат определяют по удвоенной выборке.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При неудовлетворительном результате повторного анализа (пробы), материал блокируется для принятия решения с оформлением документов. </w:t>
      </w:r>
    </w:p>
    <w:p>
      <w:pPr>
        <w:pStyle w:val="03"/>
        <w:numPr>
          <w:ilvl w:val="1"/>
          <w:numId w:val="6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Все результаты и особые условия проведения входного контроля оформляются в форме Протокола входного контроля (Приложение 1). </w:t>
      </w:r>
    </w:p>
    <w:p>
      <w:pPr>
        <w:pStyle w:val="03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/>
        <w:t>Глава 4. Методы проведения входного контроля.</w:t>
      </w:r>
    </w:p>
    <w:p>
      <w:pPr>
        <w:pStyle w:val="03"/>
        <w:numPr>
          <w:ilvl w:val="1"/>
          <w:numId w:val="3"/>
        </w:numPr>
        <w:tabs>
          <w:tab w:val="clear" w:pos="708"/>
          <w:tab w:val="left" w:pos="426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Входной контроль устанавливают сплошным или выборочным, в соответствии с методическими указаниями и стандартами для данного вида продукции. </w:t>
      </w:r>
    </w:p>
    <w:p>
      <w:pPr>
        <w:pStyle w:val="Style18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uppressAutoHyphens w:val="true"/>
        <w:autoSpaceDE w:val="false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сплошном контроле каждую единицу продукции в контролируемой партии подвергают контролю с целью выявления дефектных единиц и принятия решения о пригодности продукции к запуску в производство. Сплошной контроль назначается в тех случаях, когда он технически и экономически целесообразен и продукция штучная. Применение сплошного контроля должно быть указано в НТД на продукцию в разделах "Приемка". При сплошном контроле может предъявляться как полностью сформированная партия продукции, так и отдельные её единицы. </w:t>
      </w:r>
    </w:p>
    <w:p>
      <w:pPr>
        <w:pStyle w:val="Style18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uppressAutoHyphens w:val="true"/>
        <w:autoSpaceDE w:val="false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выборочном контроле объем выборки устанавливается требованиями методических указаний и стандартов для продукции, подлежащей входному контролю. Результаты выборочного контроля распространяются на всю партию продукции. При обнаружении несоответствия качества продукции при выборочном контроле, выполняется сплошной контроль, либо бракуется вся партия</w:t>
      </w:r>
    </w:p>
    <w:p>
      <w:pPr>
        <w:pStyle w:val="02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rPr/>
      </w:pPr>
      <w:r>
        <w:rPr/>
        <w:t>В зависимости от вида продукции могут применяться следующие методы проведения входного контроля:</w:t>
      </w:r>
    </w:p>
    <w:p>
      <w:pPr>
        <w:pStyle w:val="03"/>
        <w:numPr>
          <w:ilvl w:val="2"/>
          <w:numId w:val="3"/>
        </w:numPr>
        <w:ind w:left="0" w:hanging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Визуальный контроль</w:t>
      </w:r>
      <w:r>
        <w:rPr>
          <w:sz w:val="24"/>
          <w:szCs w:val="24"/>
        </w:rPr>
        <w:t>, при котором проверяется: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соответствие продукции договорным условиям (номенклатура, количество), наличие сертификата качества и другой сопроводительной документации;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  внешний вид упаковки, наличие пломб, этикеток, бирок и т.д.;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внешний вид продукции на соответствие согласованным и утвержденным контрольным образцам или другим требованиям (деформация, коррозия и т.д.).</w:t>
      </w:r>
    </w:p>
    <w:p>
      <w:pPr>
        <w:pStyle w:val="03"/>
        <w:numPr>
          <w:ilvl w:val="2"/>
          <w:numId w:val="3"/>
        </w:numPr>
        <w:ind w:left="0" w:hanging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Инструментальный</w:t>
      </w:r>
      <w:r>
        <w:rPr>
          <w:sz w:val="24"/>
          <w:szCs w:val="24"/>
        </w:rPr>
        <w:t>, который включает: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контроль габаритных и присоединительных размеров универсальными и специальными измерительными инструментами;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 проверку функционирования;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 проверку методами неразрушающего контроля;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 проверку взаимного расположения элементов и т.д.</w:t>
      </w:r>
    </w:p>
    <w:p>
      <w:pPr>
        <w:pStyle w:val="03"/>
        <w:numPr>
          <w:ilvl w:val="2"/>
          <w:numId w:val="3"/>
        </w:numPr>
        <w:ind w:left="0" w:hanging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Лабораторный</w:t>
      </w:r>
      <w:r>
        <w:rPr>
          <w:sz w:val="24"/>
          <w:szCs w:val="24"/>
        </w:rPr>
        <w:t>, который включает: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проверку физико-механических свойств;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анализ химического состава;</w:t>
      </w:r>
    </w:p>
    <w:p>
      <w:pPr>
        <w:pStyle w:val="Style19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/>
        <w:t>- проверку параметров лакокрасочных материалов, клеев и т.д.</w:t>
      </w:r>
    </w:p>
    <w:p>
      <w:pPr>
        <w:pStyle w:val="02"/>
        <w:numPr>
          <w:ilvl w:val="1"/>
          <w:numId w:val="3"/>
        </w:numPr>
        <w:tabs>
          <w:tab w:val="clear" w:pos="708"/>
          <w:tab w:val="left" w:pos="426" w:leader="none"/>
        </w:tabs>
        <w:ind w:left="0" w:hanging="0"/>
        <w:rPr/>
      </w:pPr>
      <w:r>
        <w:rPr/>
        <w:t>Методы входного контроля, применяемые для каждого вида продукции, устанавливаются нормативной и технической документацией на каждый вид продукции.</w:t>
      </w:r>
    </w:p>
    <w:p>
      <w:pPr>
        <w:pStyle w:val="Normal"/>
        <w:numPr>
          <w:ilvl w:val="1"/>
        </w:numPr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2"/>
        <w:rPr/>
      </w:pPr>
      <w:r>
        <w:rPr/>
        <w:t>Глава 5. Ответственность.</w:t>
      </w:r>
    </w:p>
    <w:p>
      <w:pPr>
        <w:pStyle w:val="Style18"/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5.1. Ответственность за брак, возникший в ходе производства, от продукции, не прошедшей входного контроля или забракованной, несут работники, отдавшие распоряжение о выдаче этой продукции в производство в соответствии с законодательством РФ.</w:t>
      </w:r>
    </w:p>
    <w:p>
      <w:pPr>
        <w:pStyle w:val="Style18"/>
        <w:numPr>
          <w:ilvl w:val="1"/>
          <w:numId w:val="5"/>
        </w:numPr>
        <w:tabs>
          <w:tab w:val="clear" w:pos="708"/>
          <w:tab w:val="left" w:pos="426" w:leader="none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Ответственность за ненадлежащее выполнение требований настоящего Положения несут все участвующие лица в части их касающейся в соответствии с законодательством РФ.</w:t>
      </w:r>
    </w:p>
    <w:p>
      <w:pPr>
        <w:pStyle w:val="Normal"/>
        <w:numPr>
          <w:ilvl w:val="1"/>
        </w:numPr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default" r:id="rId2"/>
      <w:footerReference w:type="first" r:id="rId3"/>
      <w:type w:val="nextPage"/>
      <w:pgSz w:w="11906" w:h="16838"/>
      <w:pgMar w:left="1701" w:right="850" w:gutter="0" w:header="0" w:top="1134" w:footer="708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/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67" w:hanging="567"/>
      </w:pPr>
      <w:rPr/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794"/>
      </w:pPr>
      <w:rPr/>
    </w:lvl>
    <w:lvl w:ilvl="4">
      <w:start w:val="1"/>
      <w:numFmt w:val="decimal"/>
      <w:lvlText w:val="%1.%2.%3.%4.%5."/>
      <w:lvlJc w:val="left"/>
      <w:pPr>
        <w:tabs>
          <w:tab w:val="num" w:pos="6512"/>
        </w:tabs>
        <w:ind w:left="6152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6872" w:hanging="720"/>
      </w:pPr>
      <w:rPr/>
    </w:lvl>
    <w:lvl w:ilvl="6">
      <w:start w:val="1"/>
      <w:numFmt w:val="decimal"/>
      <w:lvlText w:val="%1.%2.%3.%4.%5.%6.%7."/>
      <w:lvlJc w:val="left"/>
      <w:pPr>
        <w:tabs>
          <w:tab w:val="num" w:pos="2552"/>
        </w:tabs>
        <w:ind w:left="7592" w:hanging="72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8312" w:hanging="72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9032" w:hanging="72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0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9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61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7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96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5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2">
    <w:name w:val="WW8Num10z2"/>
    <w:qFormat/>
    <w:rPr>
      <w:b w:val="false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9">
    <w:name w:val="Основной шрифт абзаца"/>
    <w:qFormat/>
    <w:rPr/>
  </w:style>
  <w:style w:type="character" w:styleId="Style10">
    <w:name w:val="Верхний колонтитул Знак"/>
    <w:basedOn w:val="Style9"/>
    <w:qFormat/>
    <w:rPr/>
  </w:style>
  <w:style w:type="character" w:styleId="Style11">
    <w:name w:val="Нижний колонтитул Знак"/>
    <w:basedOn w:val="Style9"/>
    <w:qFormat/>
    <w:rPr/>
  </w:style>
  <w:style w:type="character" w:styleId="1">
    <w:name w:val="Стиль1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Style12">
    <w:name w:val="Знак примечания"/>
    <w:qFormat/>
    <w:rPr>
      <w:sz w:val="16"/>
      <w:szCs w:val="16"/>
    </w:rPr>
  </w:style>
  <w:style w:type="character" w:styleId="Style13">
    <w:name w:val="Текст примечания Знак"/>
    <w:qFormat/>
    <w:rPr>
      <w:sz w:val="20"/>
      <w:szCs w:val="20"/>
    </w:rPr>
  </w:style>
  <w:style w:type="character" w:styleId="Style14">
    <w:name w:val="Тема примечания Знак"/>
    <w:qFormat/>
    <w:rPr>
      <w:b/>
      <w:bCs/>
      <w:sz w:val="20"/>
      <w:szCs w:val="20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03">
    <w:name w:val="Список 0 ур 3"/>
    <w:basedOn w:val="Normal"/>
    <w:qFormat/>
    <w:pPr>
      <w:numPr>
        <w:ilvl w:val="0"/>
        <w:numId w:val="6"/>
      </w:numPr>
      <w:spacing w:lineRule="auto" w:line="240" w:before="120" w:after="60"/>
      <w:jc w:val="both"/>
    </w:pPr>
    <w:rPr>
      <w:rFonts w:ascii="Times New Roman" w:hAnsi="Times New Roman" w:eastAsia="Times New Roman" w:cs="Times New Roman"/>
    </w:rPr>
  </w:style>
  <w:style w:type="paragraph" w:styleId="TOC5">
    <w:name w:val="TOC 5"/>
    <w:basedOn w:val="Normal"/>
    <w:next w:val="Normal"/>
    <w:pPr>
      <w:numPr>
        <w:ilvl w:val="0"/>
        <w:numId w:val="4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02">
    <w:name w:val="Список 0 ур 2"/>
    <w:basedOn w:val="Normal"/>
    <w:qFormat/>
    <w:pPr>
      <w:numPr>
        <w:ilvl w:val="0"/>
        <w:numId w:val="7"/>
      </w:numPr>
      <w:spacing w:lineRule="auto" w:line="240" w:before="120" w:after="6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Заголовок ур 1"/>
    <w:basedOn w:val="Normal"/>
    <w:qFormat/>
    <w:pPr>
      <w:keepNext w:val="true"/>
      <w:numPr>
        <w:ilvl w:val="0"/>
        <w:numId w:val="7"/>
      </w:numPr>
      <w:spacing w:lineRule="auto" w:line="240" w:before="720" w:after="240"/>
      <w:outlineLvl w:val="0"/>
    </w:pPr>
    <w:rPr>
      <w:rFonts w:ascii="Arial" w:hAnsi="Arial" w:eastAsia="Times New Roman" w:cs="Arial"/>
      <w:b/>
      <w:bCs/>
      <w:caps/>
      <w:sz w:val="30"/>
      <w:szCs w:val="24"/>
    </w:rPr>
  </w:style>
  <w:style w:type="paragraph" w:styleId="14">
    <w:name w:val="Список 1 ур 4"/>
    <w:basedOn w:val="03"/>
    <w:qFormat/>
    <w:pPr>
      <w:numPr>
        <w:ilvl w:val="0"/>
        <w:numId w:val="7"/>
      </w:numPr>
    </w:pPr>
    <w:rPr/>
  </w:style>
  <w:style w:type="paragraph" w:styleId="Style19">
    <w:name w:val="Список маркир. основной"/>
    <w:basedOn w:val="Normal"/>
    <w:qFormat/>
    <w:pPr>
      <w:numPr>
        <w:ilvl w:val="0"/>
        <w:numId w:val="2"/>
      </w:numPr>
      <w:spacing w:lineRule="auto" w:line="240" w:before="60" w:after="0"/>
      <w:ind w:left="924" w:hanging="357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2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Style21">
    <w:name w:val="Текст примечания"/>
    <w:basedOn w:val="Normal"/>
    <w:qFormat/>
    <w:pPr>
      <w:spacing w:lineRule="auto" w:line="240"/>
    </w:pPr>
    <w:rPr>
      <w:sz w:val="20"/>
      <w:szCs w:val="20"/>
    </w:rPr>
  </w:style>
  <w:style w:type="paragraph" w:styleId="Style22">
    <w:name w:val="Тема примечания"/>
    <w:basedOn w:val="Style21"/>
    <w:next w:val="Style21"/>
    <w:qFormat/>
    <w:pPr/>
    <w:rPr>
      <w:b/>
      <w:bCs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Письмо"/>
    <w:basedOn w:val="Normal"/>
    <w:qFormat/>
    <w:pPr>
      <w:autoSpaceDE w:val="false"/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</TotalTime>
  <Application>AlterOffice/3.4.0.9$Linux_X86_64 LibreOffice_project/b8daf9e823b1a5463a2f48435ddc2e8696e7d4fc</Application>
  <AppVersion>15.0000</AppVersion>
  <Pages>7</Pages>
  <Words>1345</Words>
  <Characters>10078</Characters>
  <CharactersWithSpaces>11402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2016-07-25T13:44:00Z</dcterms:created>
  <dc:creator>Сивцов</dc:creator>
  <dc:description/>
  <cp:keywords/>
  <dc:language>ru-RU</dc:language>
  <cp:lastModifiedBy>shevchenkoevi@corp.gidroogk.com</cp:lastModifiedBy>
  <cp:lastPrinted>2017-08-31T09:53:00Z</cp:lastPrinted>
  <dcterms:modified xsi:type="dcterms:W3CDTF">2026-02-13T10:02:12Z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