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lineRule="auto" w:line="276" w:before="0" w:after="0"/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ЗЭС</w:t>
      </w:r>
    </w:p>
    <w:p>
      <w:pPr>
        <w:pStyle w:val="Normal"/>
        <w:spacing w:lineRule="auto" w:line="276" w:before="0" w:after="0"/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lineRule="auto" w:line="276" w:before="0" w:after="0"/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 Ж. Н. Доржиев</w:t>
      </w:r>
    </w:p>
    <w:p>
      <w:pPr>
        <w:pStyle w:val="Normal"/>
        <w:spacing w:lineRule="auto" w:line="276" w:before="0" w:after="0"/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«____» ____________ 202</w:t>
      </w:r>
      <w:r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г.</w:t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ОКПД2 25.11.22.110 Поставка опор стальных с фундаментами ВЛЗ 6-10 кВ Западных электрических сетей по объекту: «Электроснабжение инфраструктуры магистрального газопровода УКПГ СБНГКМ - Новоленская ТЭС (АО «Интер РАО – Электрогенерация») в рамках выполнения инвестиционных проектов P_508-6418, P_508-6423, Г2</w:t>
      </w:r>
    </w:p>
    <w:p>
      <w:pPr>
        <w:pStyle w:val="Normal"/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___-КС ПИР СМР-2026-ЯЭ</w:t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6" w:name="_Toc139856287_Копия_1"/>
      <w:bookmarkStart w:id="7" w:name="_Toc137554584_Копия_1"/>
      <w:bookmarkStart w:id="8" w:name="_Toc141696704_Копия_1"/>
      <w:bookmarkStart w:id="9" w:name="_Toc139856287_Копия_1"/>
      <w:bookmarkStart w:id="10" w:name="_Toc137554584_Копия_1"/>
      <w:bookmarkStart w:id="11" w:name="_Toc141696704_Копия_1"/>
      <w:bookmarkEnd w:id="9"/>
      <w:bookmarkEnd w:id="10"/>
      <w:bookmarkEnd w:id="11"/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rFonts w:eastAsia="Calibri"/>
            </w:rPr>
            <w:fldChar w:fldCharType="separate"/>
          </w:r>
          <w:hyperlink w:anchor="_Toc227340125">
            <w:r>
              <w:rPr>
                <w:webHidden/>
                <w:rStyle w:val="Style14"/>
                <w:rFonts w:eastAsia="Calibri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7340126">
            <w:r>
              <w:rPr>
                <w:webHidden/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7340127">
            <w:r>
              <w:rPr>
                <w:webHidden/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7340128">
            <w:r>
              <w:rPr>
                <w:webHidden/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7340129">
            <w:r>
              <w:rPr>
                <w:webHidden/>
                <w:rStyle w:val="Style14"/>
                <w:rFonts w:eastAsia="Calibri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7340130">
            <w:r>
              <w:rPr>
                <w:webHidden/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7340131">
            <w:r>
              <w:rPr>
                <w:webHidden/>
                <w:rStyle w:val="Style14"/>
                <w:rFonts w:eastAsia="Calibri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7340132">
            <w:r>
              <w:rPr>
                <w:webHidden/>
                <w:rStyle w:val="Style14"/>
                <w:rFonts w:eastAsia="Calibri"/>
              </w:rPr>
              <w:t>Таблица 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7340133">
            <w:r>
              <w:rPr>
                <w:webHidden/>
                <w:rStyle w:val="Style14"/>
                <w:rFonts w:eastAsia="Calibri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7340134">
            <w:r>
              <w:rPr>
                <w:webHidden/>
                <w:rStyle w:val="Style14"/>
                <w:rFonts w:eastAsia="Calibri"/>
              </w:rPr>
              <w:t>Таблица 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7340135">
            <w:r>
              <w:rPr>
                <w:webHidden/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7340136">
            <w:r>
              <w:rPr>
                <w:webHidden/>
                <w:rStyle w:val="Style14"/>
                <w:rFonts w:eastAsia="Calibri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7340137">
            <w:r>
              <w:rPr>
                <w:webHidden/>
                <w:rStyle w:val="Style14"/>
                <w:rFonts w:eastAsia="Calibri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7340138">
            <w:r>
              <w:rPr>
                <w:webHidden/>
                <w:rStyle w:val="Style14"/>
                <w:rFonts w:eastAsia="Calibri"/>
              </w:rPr>
              <w:t>Приложение №1 к Техническим требованиям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_Toc227340138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2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2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i/>
          <w:i/>
          <w:szCs w:val="24"/>
        </w:rPr>
      </w:pPr>
      <w:bookmarkStart w:id="12" w:name="_Toc227340125"/>
      <w:r>
        <w:rPr/>
        <w:t>Общие сведения</w:t>
      </w:r>
      <w:bookmarkEnd w:id="12"/>
    </w:p>
    <w:p>
      <w:pPr>
        <w:pStyle w:val="Heading4"/>
        <w:numPr>
          <w:ilvl w:val="0"/>
        </w:numPr>
        <w:ind w:left="432" w:hanging="432"/>
        <w:rPr/>
      </w:pPr>
      <w:bookmarkStart w:id="13" w:name="_Toc227340126"/>
      <w:bookmarkStart w:id="14" w:name="_Toc46743506"/>
      <w:r>
        <w:rPr/>
        <w:t>Наименование закупаемой продукции</w:t>
      </w:r>
      <w:bookmarkEnd w:id="13"/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ОКПД2 25.11.22.110 Поставка опор стальных с фундаментами ВЛЗ 6-10 кВ Западных электрических сетей по объекту: «Электроснабжение инфраструктуры магистрального газопровода УКПГ СБНГКМ - Новоленская ТЭС (АО «Интер РАО – Электрогенерация») в рамках выполнения инвестиционных проектов P_508-6418, P_508-6423, Г2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4"/>
        <w:numPr>
          <w:ilvl w:val="0"/>
        </w:numPr>
        <w:ind w:left="432" w:hanging="432"/>
        <w:rPr/>
      </w:pPr>
      <w:bookmarkStart w:id="15" w:name="_Toc227340127"/>
      <w:r>
        <w:rPr/>
        <w:t>Цель использования закупаемой продукции</w:t>
      </w:r>
      <w:bookmarkEnd w:id="15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jc w:val="both"/>
        <w:rPr>
          <w:sz w:val="24"/>
        </w:rPr>
      </w:pPr>
      <w:r>
        <w:rPr>
          <w:sz w:val="24"/>
        </w:rPr>
        <w:t>Исполнение обязательств по договорам об осуществлении технологического присоединения к электрическим сетям ПАО «Якутскэнерго» №1024Н0221 от 25.09.2024 г., №1024Н0229 от 25.09.2024 г. и техническим условиям №3024Н0139 от 26.09.2024 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jc w:val="both"/>
        <w:rPr>
          <w:rStyle w:val="Style8"/>
          <w:b w:val="false"/>
          <w:i w:val="false"/>
          <w:i w:val="false"/>
          <w:sz w:val="22"/>
          <w:szCs w:val="24"/>
          <w:shd w:fill="auto" w:val="clear"/>
        </w:rPr>
      </w:pPr>
      <w:r>
        <w:rPr>
          <w:b w:val="false"/>
          <w:i w:val="false"/>
          <w:sz w:val="22"/>
          <w:szCs w:val="24"/>
          <w:shd w:fill="auto" w:val="clear"/>
        </w:rPr>
      </w:r>
    </w:p>
    <w:p>
      <w:pPr>
        <w:pStyle w:val="Heading4"/>
        <w:numPr>
          <w:ilvl w:val="0"/>
        </w:numPr>
        <w:ind w:left="432" w:hanging="432"/>
        <w:rPr/>
      </w:pPr>
      <w:bookmarkStart w:id="16" w:name="_Toc227340128"/>
      <w:bookmarkStart w:id="17" w:name="_Toc46743508"/>
      <w:r>
        <w:rPr/>
        <w:t>Существующее положение</w:t>
      </w:r>
      <w:bookmarkEnd w:id="16"/>
      <w:bookmarkEnd w:id="17"/>
    </w:p>
    <w:p>
      <w:pPr>
        <w:pStyle w:val="Normal"/>
        <w:tabs>
          <w:tab w:val="clear" w:pos="708"/>
          <w:tab w:val="left" w:pos="426" w:leader="none"/>
        </w:tabs>
        <w:spacing w:lineRule="auto" w:line="27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Рабочая документация «</w:t>
      </w:r>
      <w:r>
        <w:rPr>
          <w:sz w:val="24"/>
          <w:szCs w:val="24"/>
          <w:lang w:val="x-none" w:eastAsia="x-none"/>
        </w:rPr>
        <w:t>Электроснабжение инфраструктуры магистрального газопровода УКПГ СБНГКМ - Новоленская ТЭС АО "Интер РАО-Электрогенерация</w:t>
      </w:r>
      <w:r>
        <w:rPr>
          <w:sz w:val="24"/>
          <w:szCs w:val="24"/>
          <w:lang w:eastAsia="x-none"/>
        </w:rPr>
        <w:t>» (шифр 522-25) разработана ООО «Энергопроект» в 2025 г.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8" w:name="_Toc227340129"/>
      <w:bookmarkStart w:id="19" w:name="_Toc51339693"/>
      <w:bookmarkStart w:id="20" w:name="_Toc50125126"/>
      <w:bookmarkStart w:id="21" w:name="_Toc46743510"/>
      <w:bookmarkEnd w:id="20"/>
      <w:bookmarkEnd w:id="21"/>
      <w:r>
        <w:rPr/>
        <w:t>Требования к продукции</w:t>
      </w:r>
      <w:bookmarkEnd w:id="18"/>
      <w:bookmarkEnd w:id="19"/>
    </w:p>
    <w:p>
      <w:pPr>
        <w:pStyle w:val="Heading4"/>
        <w:numPr>
          <w:ilvl w:val="0"/>
        </w:numPr>
        <w:ind w:left="432" w:hanging="432"/>
        <w:rPr/>
      </w:pPr>
      <w:bookmarkStart w:id="22" w:name="_Toc22734013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2"/>
    </w:p>
    <w:p>
      <w:pPr>
        <w:pStyle w:val="Heading3"/>
        <w:numPr>
          <w:ilvl w:val="2"/>
          <w:numId w:val="3"/>
        </w:numPr>
        <w:ind w:left="0" w:hanging="0"/>
        <w:rPr/>
      </w:pPr>
      <w:bookmarkStart w:id="23" w:name="_Toc227340131"/>
      <w:r>
        <w:rPr/>
        <w:t>Перечень и объем закупаемой продукции</w:t>
      </w:r>
      <w:bookmarkEnd w:id="23"/>
    </w:p>
    <w:p>
      <w:pPr>
        <w:pStyle w:val="Heading1"/>
        <w:numPr>
          <w:ilvl w:val="0"/>
          <w:numId w:val="0"/>
        </w:numPr>
        <w:ind w:left="0" w:hanging="0"/>
        <w:rPr/>
      </w:pPr>
      <w:bookmarkStart w:id="24" w:name="_Toc227340132"/>
      <w:bookmarkStart w:id="25" w:name="_Toc51339695"/>
      <w:r>
        <w:rPr/>
        <w:t xml:space="preserve">Таблица 1. Перечень </w:t>
      </w:r>
      <w:bookmarkEnd w:id="25"/>
      <w:r>
        <w:rPr/>
        <w:t>и объем закупаемой продукции</w:t>
      </w:r>
      <w:bookmarkEnd w:id="24"/>
    </w:p>
    <w:tbl>
      <w:tblPr>
        <w:tblW w:w="1009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4"/>
        <w:gridCol w:w="3299"/>
        <w:gridCol w:w="1272"/>
        <w:gridCol w:w="1001"/>
        <w:gridCol w:w="1558"/>
        <w:gridCol w:w="2118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строительства распределительных сетей ВЛЗ-10 кВ от ПС 110 кВ Северная Нюя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9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Опоры круглого сечения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Одноцепная промежуточная опора ПТ-10-1 с односвайным фундаментом С1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25.11.22.110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в отношении товаров Российского происхождения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9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Опоры решетчатые и многогранные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3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Одноцепная анкерная (угловая) опора АСУ-10-2 с односвайным фундаментом ФА-10-2-7.1</w:t>
            </w:r>
          </w:p>
        </w:tc>
        <w:tc>
          <w:tcPr>
            <w:tcW w:w="12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комплект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25.11.22.110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в отношении товаров Российского происхождения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Итого опор </w:t>
            </w:r>
            <w:r>
              <w:rPr>
                <w:b/>
                <w:sz w:val="22"/>
                <w:szCs w:val="22"/>
              </w:rPr>
              <w:t>ВЛЗ-10 кВ от ПС 110 кВ Северная Нюя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3"/>
        <w:numPr>
          <w:ilvl w:val="2"/>
          <w:numId w:val="3"/>
        </w:numPr>
        <w:ind w:left="0" w:hanging="0"/>
        <w:rPr/>
      </w:pPr>
      <w:bookmarkStart w:id="26" w:name="_Toc227340133"/>
      <w:bookmarkStart w:id="27" w:name="_Toc51339696"/>
      <w:r>
        <w:rPr/>
        <w:t xml:space="preserve">Требования </w:t>
      </w:r>
      <w:bookmarkEnd w:id="27"/>
      <w:r>
        <w:rPr/>
        <w:t>к срокам поставки продукции и оказания сопутствующих услуг</w:t>
      </w:r>
      <w:bookmarkEnd w:id="2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28" w:name="_Toc227340134"/>
      <w:bookmarkStart w:id="29" w:name="_Toc50125127"/>
      <w:bookmarkStart w:id="30" w:name="_Toc51339697"/>
      <w:bookmarkStart w:id="31" w:name="_Toc50125126_Копия_1"/>
      <w:bookmarkEnd w:id="31"/>
      <w:r>
        <w:rPr/>
        <w:t xml:space="preserve">Таблица </w:t>
      </w:r>
      <w:r>
        <w:rPr>
          <w:lang w:val="ru-RU"/>
        </w:rPr>
        <w:t>2.</w:t>
      </w:r>
      <w:r>
        <w:rPr/>
        <w:t xml:space="preserve"> </w:t>
      </w:r>
      <w:bookmarkStart w:id="32" w:name="_Hlk50465284"/>
      <w:r>
        <w:rPr/>
        <w:t xml:space="preserve">Требования по срокам </w:t>
      </w:r>
      <w:bookmarkEnd w:id="29"/>
      <w:bookmarkEnd w:id="30"/>
      <w:bookmarkEnd w:id="32"/>
      <w:r>
        <w:rPr>
          <w:lang w:val="ru-RU"/>
        </w:rPr>
        <w:t>поставки продукции</w:t>
      </w:r>
      <w:bookmarkEnd w:id="28"/>
    </w:p>
    <w:tbl>
      <w:tblPr>
        <w:tblStyle w:val="220"/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3686"/>
        <w:gridCol w:w="3262"/>
        <w:gridCol w:w="2550"/>
      </w:tblGrid>
      <w:tr>
        <w:trPr>
          <w:trHeight w:val="253" w:hRule="atLeast"/>
        </w:trPr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6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 / партии продукции</w:t>
            </w:r>
          </w:p>
        </w:tc>
        <w:tc>
          <w:tcPr>
            <w:tcW w:w="32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началу срока поставки продукции</w:t>
            </w:r>
          </w:p>
        </w:tc>
        <w:tc>
          <w:tcPr>
            <w:tcW w:w="25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окончанию срока поставки продукции</w:t>
            </w:r>
          </w:p>
        </w:tc>
      </w:tr>
      <w:tr>
        <w:trPr>
          <w:trHeight w:val="253" w:hRule="atLeast"/>
        </w:trPr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498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Требования к срокам поставки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29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2.1.2.1</w:t>
            </w:r>
          </w:p>
        </w:tc>
        <w:tc>
          <w:tcPr>
            <w:tcW w:w="36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Опоры с фундаментами, согласно таблицы 1 (поз. 1.1.1, 1.2.1)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550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en-US" w:bidi="ar-SA"/>
              </w:rPr>
              <w:t>в течение 60 дней с даты подписания договора поставки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851" w:right="851" w:gutter="0" w:header="680" w:top="992" w:footer="0" w:bottom="567"/>
          <w:pgNumType w:fmt="decimal"/>
          <w:formProt w:val="false"/>
          <w:textDirection w:val="lrTb"/>
          <w:docGrid w:type="default" w:linePitch="381" w:charSpace="0"/>
        </w:sectPr>
      </w:pPr>
      <w:r>
        <w:br w:type="page"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33" w:name="_Toc51339698"/>
      <w:bookmarkStart w:id="34" w:name="_Toc51339698"/>
    </w:p>
    <w:p>
      <w:pPr>
        <w:pStyle w:val="Heading4"/>
        <w:numPr>
          <w:ilvl w:val="0"/>
        </w:numPr>
        <w:ind w:left="432" w:hanging="432"/>
        <w:rPr/>
      </w:pPr>
      <w:bookmarkStart w:id="35" w:name="_Toc227340135"/>
      <w:bookmarkStart w:id="36" w:name="_Toc46743511"/>
      <w:r>
        <w:rPr/>
        <w:t xml:space="preserve">Требования к </w:t>
      </w:r>
      <w:bookmarkEnd w:id="36"/>
      <w:r>
        <w:rPr/>
        <w:t>качеству продукции</w:t>
      </w:r>
      <w:bookmarkEnd w:id="35"/>
    </w:p>
    <w:p>
      <w:pPr>
        <w:pStyle w:val="Heading1"/>
        <w:numPr>
          <w:ilvl w:val="0"/>
          <w:numId w:val="0"/>
        </w:numPr>
        <w:ind w:left="0" w:hanging="0"/>
        <w:rPr/>
      </w:pPr>
      <w:bookmarkStart w:id="37" w:name="_Toc227340136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34"/>
      <w:bookmarkEnd w:id="37"/>
    </w:p>
    <w:p>
      <w:pPr>
        <w:pStyle w:val="Normal"/>
        <w:spacing w:lineRule="auto" w:line="276"/>
        <w:jc w:val="both"/>
        <w:rPr>
          <w:rStyle w:val="Style8"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(позиции № 1.1.1, 1.2.1 Таблицы 1.):</w:t>
      </w:r>
      <w:r>
        <w:rPr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опоры стальные с фундаментами ВЛЗ-10 кВ</w:t>
      </w:r>
    </w:p>
    <w:tbl>
      <w:tblPr>
        <w:tblStyle w:val="affff7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399"/>
        <w:gridCol w:w="9"/>
        <w:gridCol w:w="2837"/>
        <w:gridCol w:w="2976"/>
        <w:gridCol w:w="3117"/>
        <w:gridCol w:w="3118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0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0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1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0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8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4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2.2.1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" w:leader="none"/>
              </w:tabs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2.2.1.1</w:t>
            </w:r>
          </w:p>
        </w:tc>
        <w:tc>
          <w:tcPr>
            <w:tcW w:w="52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позиций продукции представлены в Приложении № 1 к настоящим Техническим требованиям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 в форме Приложения № 1 к Техническим требованиям</w:t>
            </w:r>
          </w:p>
        </w:tc>
        <w:tc>
          <w:tcPr>
            <w:tcW w:w="31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Заполненная форма Приложения № 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2.2.2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64" w:before="0" w:after="0"/>
              <w:ind w:left="25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2.2.2.1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Место поставки (позиции Таблицы 1)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 xml:space="preserve">Продукция должна быть доставлена Поставщиком по адресу: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678174, Республика Саха (Якутия), Ленский район, г. Ленск, ул. Объездная, 8 и 10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Заполненная форма Приложения № 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2.2.3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2.2.3.1</w:t>
            </w:r>
          </w:p>
        </w:tc>
        <w:tc>
          <w:tcPr>
            <w:tcW w:w="24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Период изготовления позиций Таблицы 1 «Перечень и объем закупаемой продукции»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Продукция, поставляемая в рамках настоящего договора, должна быть новой (не ранее 2025 г. выпуска) ранее не использованной.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11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64" w:before="0" w:after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2.2.3.2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 и срок службы позиций Таблицы 1 «Перечень и объем закупаемой продукции»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Гарантийный срок эксплуатации не менее 60 месяцев с момента ввода в эксплуатацию, но не более 66 месяцев с момента поставки. Срок службы не менее 60 лет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11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64" w:before="0" w:after="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2.2.4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по предоставлению документов, подтверждающих соответствие требованиям при подаче заявок участников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2.2.4.1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Подтверждение соответствия заявленных характеристик и конструктива предложенной продукции требованиям настоящих ТТ</w:t>
            </w:r>
          </w:p>
        </w:tc>
        <w:tc>
          <w:tcPr>
            <w:tcW w:w="28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ru-RU" w:bidi="ar-SA"/>
              </w:rPr>
              <w:t>1. Информационное письмо в произвольной форме, подтверждающее, что при изготовлении продукции будут применяться материалы, соответствующие ГОСТ, указанным в приложениях 2-14 к настоящим Техническим требованиям;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ru-RU" w:bidi="ar-SA"/>
              </w:rPr>
              <w:t>2. Если Участник предложил продукцию, изготовленную согласно ТУ, то для проверки соответствия технических характеристик и требуемых параметров, Участник должен предоставить в составе своей заявки подписанные должным образом, отсканированные (полный текст) ТУ, в соответствии с которым выпускается продукция, при этом ТУ должны быть разработаны на основе ГОСТ и должны соответствовать требованиям, предъявляемым ГОСТ (соответствие подтверждается участником);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ru-RU" w:bidi="ar-SA"/>
              </w:rPr>
              <w:t>3.Действующий на момент подачи заявки сертификат/декларацию о соответствии ГОСТ (ТУ), (на основании которого изготавливается предлагаемая продукция) на стальные фундаменты и опоры.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ru-RU" w:bidi="ar-SA"/>
              </w:rPr>
              <w:t>либо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ru-RU" w:bidi="ar-SA"/>
              </w:rPr>
              <w:t>Документ о качестве (паспорт качества) на стальные опоры и фундаменты, изготовленные не ранее 2024 года, в котором указан  ГОСТ (ТУ), (на основании которого изготавливается предлагаемая продукция) на стальные фундаменты и опоры.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Предоставление подтверждающих документов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2.2.5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документам, передаваемым вместе с оборудованием, подтверждающим технические характеристики (на этапе исполнения договора)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2.2.5.1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Позиции Таблицы 1 «Перечень и объем закупаемой продукции»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иметь документы, подтверждающие соответствие ТУ и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/  Информационное письмо (на этапе исполнения договора)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2.2.6</w:t>
            </w:r>
          </w:p>
        </w:tc>
        <w:tc>
          <w:tcPr>
            <w:tcW w:w="52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Дополнительные требования, касающиеся предложений о поставке эквивалентной продукции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2.2.6.1</w:t>
            </w:r>
          </w:p>
        </w:tc>
        <w:tc>
          <w:tcPr>
            <w:tcW w:w="52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ru-RU" w:bidi="ar-SA"/>
              </w:rPr>
              <w:t>Позиции № 1.1.1, 1.2.1 Таблицы 1 «Перечень и объем закупаемой продукции»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iCs/>
                <w:sz w:val="22"/>
                <w:szCs w:val="20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0"/>
                <w:lang w:val="ru-RU" w:eastAsia="ru-RU" w:bidi="ar-SA"/>
              </w:rPr>
              <w:t>Участник должен принять во внимание, что ссылки на ТУ, артикулы, марки, модели продукции, указанной в настоящих Технических требованиях, носят описательный, а не обязательный характер.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i/>
                <w:i/>
                <w:iCs/>
                <w:sz w:val="22"/>
                <w:szCs w:val="20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0"/>
                <w:lang w:val="ru-RU" w:eastAsia="ru-RU" w:bidi="ar-SA"/>
              </w:rPr>
              <w:t xml:space="preserve">В случае, если Участником предлагается эквивалентная продукция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требований в настоящем Техническом требовании. </w:t>
            </w:r>
            <w:r>
              <w:rPr>
                <w:rFonts w:eastAsia="Calibri" w:cs="Times New Roman"/>
                <w:bCs/>
                <w:i/>
                <w:iCs/>
                <w:kern w:val="0"/>
                <w:sz w:val="22"/>
                <w:szCs w:val="20"/>
                <w:lang w:val="ru-RU" w:eastAsia="ru-RU" w:bidi="ar-SA"/>
              </w:rPr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2"/>
                <w:szCs w:val="20"/>
              </w:rPr>
            </w:pPr>
            <w:r>
              <w:rPr>
                <w:rFonts w:eastAsia="Calibri" w:cs="Times New Roman"/>
                <w:bCs/>
                <w:i/>
                <w:iCs/>
                <w:kern w:val="0"/>
                <w:sz w:val="22"/>
                <w:szCs w:val="20"/>
                <w:lang w:val="ru-RU" w:eastAsia="ru-RU" w:bidi="ar-SA"/>
              </w:rPr>
              <w:t>в том числе, по гарантийным срокам и срокам эксплуатации.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Cs/>
                <w:sz w:val="22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0"/>
                <w:lang w:val="ru-RU" w:eastAsia="ru-RU" w:bidi="ar-SA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numPr>
          <w:ilvl w:val="0"/>
          <w:numId w:val="3"/>
        </w:numPr>
        <w:ind w:left="0" w:hanging="0"/>
        <w:rPr/>
      </w:pPr>
      <w:bookmarkStart w:id="38" w:name="_Toc227340137"/>
      <w:bookmarkStart w:id="39" w:name="_Toc53393312"/>
      <w:r>
        <w:rPr/>
        <w:t>Требования к документации по ценообразованию</w:t>
      </w:r>
      <w:bookmarkEnd w:id="39"/>
      <w:r>
        <w:rPr/>
        <w:t xml:space="preserve"> на этапе закупки</w:t>
      </w:r>
      <w:bookmarkEnd w:id="38"/>
    </w:p>
    <w:p>
      <w:pPr>
        <w:pStyle w:val="Normal"/>
        <w:tabs>
          <w:tab w:val="clear" w:pos="708"/>
          <w:tab w:val="left" w:pos="426" w:leader="none"/>
        </w:tabs>
        <w:spacing w:lineRule="auto" w:line="276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426" w:leader="none"/>
        </w:tabs>
        <w:spacing w:lineRule="auto" w:line="276"/>
        <w:ind w:left="0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0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0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426" w:leader="none"/>
        </w:tabs>
        <w:spacing w:lineRule="auto" w:line="276"/>
        <w:ind w:left="0" w:hanging="0"/>
        <w:jc w:val="both"/>
        <w:rPr>
          <w:bCs/>
          <w:iCs/>
          <w:sz w:val="24"/>
          <w:szCs w:val="24"/>
          <w:lang w:eastAsia="x-none"/>
        </w:rPr>
      </w:pPr>
      <w:bookmarkStart w:id="41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1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br w:type="page"/>
      </w:r>
    </w:p>
    <w:p>
      <w:pPr>
        <w:pStyle w:val="Heading2"/>
        <w:numPr>
          <w:ilvl w:val="0"/>
        </w:numPr>
        <w:ind w:left="432" w:hanging="0"/>
        <w:rPr/>
      </w:pPr>
      <w:bookmarkStart w:id="42" w:name="_Toc227340138"/>
      <w:r>
        <w:rPr/>
        <w:t>Приложение №1 к Техническим требованиям</w:t>
      </w:r>
      <w:bookmarkEnd w:id="42"/>
    </w:p>
    <w:p>
      <w:pPr>
        <w:pStyle w:val="Normal"/>
        <w:spacing w:before="0" w:after="12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val="x-none"/>
        </w:rPr>
        <w:t>Таблица </w:t>
      </w:r>
      <w:r>
        <w:rPr>
          <w:rFonts w:eastAsia="Calibri"/>
          <w:bCs/>
          <w:sz w:val="24"/>
          <w:szCs w:val="24"/>
        </w:rPr>
        <w:t>4</w:t>
      </w:r>
      <w:r>
        <w:rPr>
          <w:rFonts w:eastAsia="Calibri"/>
          <w:bCs/>
          <w:sz w:val="24"/>
          <w:szCs w:val="24"/>
          <w:lang w:val="x-none"/>
        </w:rPr>
        <w:t xml:space="preserve">. </w:t>
      </w:r>
      <w:r>
        <w:rPr>
          <w:rFonts w:eastAsia="Calibri"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lineRule="auto" w:line="276"/>
        <w:jc w:val="both"/>
        <w:rPr>
          <w:rStyle w:val="Style8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опоры стальные с фундаментами ВЛЗ-10 кВ</w:t>
      </w:r>
    </w:p>
    <w:tbl>
      <w:tblPr>
        <w:tblStyle w:val="1c"/>
        <w:tblW w:w="147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429"/>
        <w:gridCol w:w="2268"/>
        <w:gridCol w:w="1701"/>
        <w:gridCol w:w="2681"/>
        <w:gridCol w:w="1553"/>
        <w:gridCol w:w="1470"/>
        <w:gridCol w:w="1482"/>
        <w:gridCol w:w="1453"/>
      </w:tblGrid>
      <w:tr>
        <w:trPr>
          <w:trHeight w:val="907" w:hRule="atLeast"/>
        </w:trPr>
        <w:tc>
          <w:tcPr>
            <w:tcW w:w="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42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 «Перечень и объем закупаемой продукции»</w:t>
            </w:r>
          </w:p>
        </w:tc>
        <w:tc>
          <w:tcPr>
            <w:tcW w:w="22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43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595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Предложения участника, включая эквиваленты опор, которые не уступают требуемым характеристикам</w:t>
            </w:r>
          </w:p>
        </w:tc>
      </w:tr>
      <w:tr>
        <w:trPr>
          <w:trHeight w:val="726" w:hRule="atLeast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2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Рабочая документация</w:t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Рабочая документация, ГОСТ/ТУ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223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bookmarkStart w:id="43" w:name="_GoBack"/>
            <w:bookmarkEnd w:id="43"/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>
          <w:trHeight w:val="489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1.1.1</w:t>
            </w:r>
          </w:p>
        </w:tc>
        <w:tc>
          <w:tcPr>
            <w:tcW w:w="2268" w:type="dxa"/>
            <w:tcBorders/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Одноцепная промежуточная опора ПТ-10-1 с односвайным фундаментом С1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Приложение №1 к Техническим требованиям</w:t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Согласно Приложению №1 к Техническим требованиям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color w:val="A6A6A6" w:themeColor="background1" w:themeShade="a6"/>
                <w:sz w:val="22"/>
                <w:szCs w:val="22"/>
              </w:rPr>
            </w:pPr>
            <w:r>
              <w:rPr>
                <w:rFonts w:eastAsia="Calibri" w:cs="Times New Roman"/>
                <w:i/>
                <w:color w:val="A6A6A6" w:themeColor="background1" w:themeShade="a6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color w:val="A6A6A6" w:themeColor="background1" w:themeShade="a6"/>
                <w:sz w:val="22"/>
                <w:szCs w:val="22"/>
              </w:rPr>
            </w:pPr>
            <w:r>
              <w:rPr>
                <w:rFonts w:eastAsia="Calibri" w:cs="Times New Roman"/>
                <w:i/>
                <w:color w:val="A6A6A6" w:themeColor="background1" w:themeShade="a6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Позиция 1.2.1</w:t>
            </w:r>
          </w:p>
        </w:tc>
        <w:tc>
          <w:tcPr>
            <w:tcW w:w="2268" w:type="dxa"/>
            <w:tcBorders/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Одноцепная анкерная (угловая) опора АСУ-10-2 с односвайным фундаментом ФА-10-2-7.1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Приложение №2 к Техническим требованиям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Согласно Приложению №2 к Техническим требованиям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color w:val="A6A6A6" w:themeColor="background1" w:themeShade="a6"/>
                <w:sz w:val="22"/>
                <w:szCs w:val="22"/>
              </w:rPr>
            </w:pPr>
            <w:r>
              <w:rPr>
                <w:rFonts w:eastAsia="Calibri" w:cs="Times New Roman"/>
                <w:i/>
                <w:color w:val="A6A6A6" w:themeColor="background1" w:themeShade="a6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color w:val="A6A6A6" w:themeColor="background1" w:themeShade="a6"/>
                <w:sz w:val="22"/>
                <w:szCs w:val="22"/>
              </w:rPr>
            </w:pPr>
            <w:r>
              <w:rPr>
                <w:rFonts w:eastAsia="Calibri" w:cs="Times New Roman"/>
                <w:i/>
                <w:color w:val="A6A6A6" w:themeColor="background1" w:themeShade="a6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1191" w:right="96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tbl>
      <w:tblPr>
        <w:tblW w:w="97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537"/>
        <w:gridCol w:w="6243"/>
      </w:tblGrid>
      <w:tr>
        <w:trPr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№1 к Техническим требованиям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Опросный лист Одноцепная промежуточная опора ПТ-10-1 с односвайным фундаментом С1</w:t>
            </w:r>
          </w:p>
        </w:tc>
      </w:tr>
      <w:tr>
        <w:trPr>
          <w:trHeight w:val="8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№2 к Техническим требованиям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Опросный лист Одноцепная</w:t>
            </w:r>
            <w:r>
              <w:rPr>
                <w:sz w:val="24"/>
                <w:szCs w:val="24"/>
              </w:rPr>
              <w:t xml:space="preserve"> анкерная (угловая) опора</w:t>
            </w:r>
            <w:r>
              <w:rPr>
                <w:color w:val="000000"/>
                <w:sz w:val="24"/>
                <w:szCs w:val="24"/>
              </w:rPr>
              <w:t xml:space="preserve"> АСУ-10-2 с односвайным фундаментом ФА-10-2-7.1</w:t>
            </w:r>
          </w:p>
        </w:tc>
      </w:tr>
    </w:tbl>
    <w:p>
      <w:pPr>
        <w:pStyle w:val="Normal"/>
        <w:spacing w:lineRule="auto" w:line="276"/>
        <w:rPr>
          <w:b/>
          <w:sz w:val="16"/>
          <w:szCs w:val="16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8211"/>
        </w:tabs>
        <w:ind w:left="9435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f5a65"/>
    <w:pPr>
      <w:keepNext w:val="true"/>
      <w:numPr>
        <w:ilvl w:val="2"/>
        <w:numId w:val="3"/>
      </w:numPr>
      <w:tabs>
        <w:tab w:val="clear" w:pos="708"/>
        <w:tab w:val="left" w:pos="709" w:leader="none"/>
      </w:tabs>
      <w:spacing w:lineRule="auto" w:line="276"/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709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f5a65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a0d3b"/>
    <w:pPr>
      <w:tabs>
        <w:tab w:val="clear" w:pos="708"/>
        <w:tab w:val="left" w:pos="560" w:leader="none"/>
        <w:tab w:val="right" w:pos="9911" w:leader="dot"/>
      </w:tabs>
      <w:spacing w:before="120" w:after="0"/>
      <w:jc w:val="both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" w:customStyle="1">
    <w:name w:val="caption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8d172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">
    <w:name w:val="Сетка таблицы22"/>
    <w:basedOn w:val="a5"/>
    <w:uiPriority w:val="39"/>
    <w:rsid w:val="001f5a6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850C-4D13-4532-8453-2B29570C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AlterOffice/3.4.0.9$Linux_X86_64 LibreOffice_project/b8daf9e823b1a5463a2f48435ddc2e8696e7d4fc</Application>
  <AppVersion>15.0000</AppVersion>
  <Pages>11</Pages>
  <Words>1269</Words>
  <Characters>8631</Characters>
  <CharactersWithSpaces>9687</CharactersWithSpaces>
  <Paragraphs>213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2025-10-16T02:00:00Z</dcterms:created>
  <dc:creator>Быстров Олег Геннадьевич</dc:creator>
  <dc:description/>
  <dc:language>ru-RU</dc:language>
  <cp:lastModifiedBy>danilovso</cp:lastModifiedBy>
  <cp:lastPrinted>2006-07-26T14:04:00Z</cp:lastPrinted>
  <dcterms:modified xsi:type="dcterms:W3CDTF">2026-04-20T18:40:32Z</dcterms:modified>
  <cp:revision>89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