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филиала ПАО «Якутскэнерго»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Западные электрические сети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________________ Ж.Н.Доржиев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«___»____________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ОКПД2 20.14.7</w:t>
      </w:r>
      <w:r>
        <w:rPr>
          <w:rFonts w:eastAsia="Calibri"/>
          <w:b/>
          <w:bCs/>
          <w:sz w:val="26"/>
          <w:szCs w:val="26"/>
        </w:rPr>
        <w:t>1.190</w:t>
      </w:r>
      <w:r>
        <w:rPr>
          <w:rFonts w:eastAsia="Calibri"/>
          <w:b/>
          <w:bCs/>
          <w:sz w:val="26"/>
          <w:szCs w:val="26"/>
        </w:rPr>
        <w:t xml:space="preserve"> Поставка химматериалов в рамках энергоремонтного производства для нужд Западных электрических сетей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5320209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0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32021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3202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3202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1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53202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_Toc225320219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Согласие с требованием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_Toc225320221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Предоставление подтверждающего документа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5320222">
            <w:r>
              <w:rPr>
                <w:webHidden/>
                <w:rStyle w:val="Style14"/>
                <w:rFonts w:cs="Arial"/>
                <w:vanish w:val="false"/>
              </w:rPr>
              <w:t>Указание наименования реестра и номер реестровой записи в Форме Коммерческого предложения и Структуры НМЦ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_Toc225320222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5320209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225320210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Химматериалы в рамках энергоремонтного производства для нужд Западных электрических сетей"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4" w:name="_Toc225320211"/>
      <w:bookmarkStart w:id="5" w:name="_Toc46743507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4"/>
      <w:r>
        <w:rPr>
          <w:lang w:val="ru-RU"/>
        </w:rPr>
        <w:t xml:space="preserve"> </w:t>
      </w:r>
    </w:p>
    <w:p>
      <w:pPr>
        <w:pStyle w:val="Normal"/>
        <w:rPr>
          <w:i/>
          <w:i/>
          <w:lang w:eastAsia="x-none"/>
        </w:rPr>
      </w:pPr>
      <w:r>
        <w:rPr>
          <w:i/>
          <w:sz w:val="24"/>
          <w:lang w:eastAsia="x-none"/>
        </w:rPr>
        <w:t>Ремонтная программа 2027 года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225320212"/>
      <w:bookmarkStart w:id="8" w:name="_Toc50125126"/>
      <w:bookmarkEnd w:id="8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9" w:name="_Toc22532021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225320214"/>
      <w:r>
        <w:rPr>
          <w:lang w:val="ru-RU"/>
        </w:rPr>
        <w:t>Перечень и объем закупаемой продукции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22532021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4"/>
        <w:gridCol w:w="3686"/>
        <w:gridCol w:w="851"/>
        <w:gridCol w:w="710"/>
        <w:gridCol w:w="1416"/>
        <w:gridCol w:w="2410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Ед. изм.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Азот особой чистоты 99,999%, 1 сорт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</w:rPr>
              <w:t>баллон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Элегаз (SF 6)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</w:rPr>
              <w:t>баллон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Силикагель КСКГ</w:t>
            </w:r>
            <w:bookmarkStart w:id="13" w:name="_GoBack"/>
            <w:bookmarkEnd w:id="13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Силикагель индикаторный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</w:rPr>
              <w:t>кг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20.14.7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Сорбент крошка для сбора нефтепродуктов Уремикс-913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20.13.24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Аргон газообразный высший сорт 99.993% 40л ГОСТ 10157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баллон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20.11.11.121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Пропан сжиженный 50л баллон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баллон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19.20.31</w:t>
              <w:br/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Нефрас 80/120 (бензин "Калоша")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л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19.20.23.190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75446578"/>
      <w:bookmarkStart w:id="15" w:name="_Toc225320216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4"/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225320217"/>
      <w:bookmarkStart w:id="18" w:name="_Toc50125127"/>
      <w:bookmarkStart w:id="19" w:name="_Toc51339697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2"/>
        <w:gridCol w:w="5389"/>
        <w:gridCol w:w="1843"/>
        <w:gridCol w:w="1841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2" w:name="_Toc46743510"/>
            <w:r>
              <w:rPr>
                <w:b/>
                <w:sz w:val="24"/>
                <w:szCs w:val="24"/>
              </w:rPr>
              <w:t>4</w:t>
            </w:r>
            <w:bookmarkEnd w:id="22"/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Азот особой чистоты 99,999%, 1 сорт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Элегаз (SF 6)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Силикагель КСКГ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Силикагель индикаторный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Сорбент крошка для сбора нефтепродуктов Уремикс-913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Аргон газообразный высший сорт 99.993% 40л ГОСТ 10157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Пропан сжиженный 50л баллон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Нефрас 80/120 (бензин "Калоша")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276" w:footer="0" w:bottom="1135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75446581"/>
      <w:bookmarkStart w:id="25" w:name="_Toc225320218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22532021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3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№1-8 Таблицы 1.): </w:t>
      </w:r>
      <w:r>
        <w:rPr>
          <w:rFonts w:eastAsia="Calibri"/>
          <w:i/>
          <w:sz w:val="24"/>
          <w:szCs w:val="24"/>
          <w:lang w:eastAsia="x-none"/>
        </w:rPr>
        <w:t>Химические материалы на нужды Западных электрических сетей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153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789"/>
        <w:gridCol w:w="46"/>
        <w:gridCol w:w="4537"/>
        <w:gridCol w:w="2144"/>
        <w:gridCol w:w="2957"/>
        <w:gridCol w:w="1992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1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737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8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Азот особой чистоты 99,999%, 1 сорт</w:t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Объёмная доля азота — не менее 99,999%</w:t>
              <w:br/>
              <w:t>—Объёмная доля кислорода — не более 0,0005%</w:t>
              <w:br/>
              <w:t>—Содержание масла, механических примесей и влаги — выдерживает испытание</w:t>
              <w:br/>
              <w:t>—Объёмная доля водорода — не более 0,0002%</w:t>
              <w:br/>
              <w:t>—Объемная доля суммы углеродсодержащих соединений в пересчете на СН4 — не более 0,0003%. Объем баллона: 40 л</w:t>
              <w:br/>
              <w:t>Количество в баллоне: 5,7 м</w:t>
            </w:r>
            <w:r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21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Элегаз (SF 6)</w:t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Массовая доля примесей не более  0,05 % .  Массовая доля гексафторида серы [SF6], не менее 99,99 %. Массовая доля воды, не более  0,0015 % . Массовая доля гидролизуемых фторидов в пересчете на массовую долю фтористого водорода [HF], не более 0,0001 %. Объем баллона: 40 л.</w:t>
            </w:r>
          </w:p>
        </w:tc>
        <w:tc>
          <w:tcPr>
            <w:tcW w:w="21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Силикагель КСКГ</w:t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Крупный Силикагель Крупнопористый Гранулированный. Стекловидные прозрачные или матовые зерна овальной, сферической или неправильной формы. Массовая доля зерен при размере зерен 2.8-7.0 мм, %, не менее 94. Механическая прочность, %, не менее 86. Насыпная плотность, г/дм3, не менее 400. Массовая доля потери при высушивании, %, не более 5.</w:t>
            </w:r>
          </w:p>
        </w:tc>
        <w:tc>
          <w:tcPr>
            <w:tcW w:w="21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Силикагель индикаторный</w:t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ru-RU" w:eastAsia="ru-RU" w:bidi="ar-SA"/>
              </w:rPr>
              <w:t>Мелкопористые зерна сферической формы. Цвет: от синего до светло-голубого. Массовая доля зерен размером 3,0–5,00 мм, %, не менее 90. Размер 3-5мм. Диоксид кремния, не менее 95%. Массовая доля потери при высушивании 180 гр С через 2 часа, 2%</w:t>
            </w:r>
          </w:p>
        </w:tc>
        <w:tc>
          <w:tcPr>
            <w:tcW w:w="21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Сорбент крошка для сбора нефтепродуктов Уремикс-913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Cорбент «УРЕМИКС-913» предназначен для сбора разлившихся нефтепродуктов. Сорбент «УРЕМИКС-913» с большой скоростью и в огромных объемах поглощает любые нефтепродукты: от отработанных моторных масел, дизельного топлива, гидравлических жидкостей и растительных масел до таких «сложных» субстанций, как синтетические масла.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Для поглощения 100 кг нефтепродуктов требуется 2,5 кг сорбента «УРЕМИКС-913».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Суперсорбент в виде крошки</w:t>
            </w:r>
          </w:p>
        </w:tc>
        <w:tc>
          <w:tcPr>
            <w:tcW w:w="21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Аргон газообразный высший сорт 99.993% 40л ГОСТ 10157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Аргон газообразный высший сорт 99.993% 40л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ГОСТ 10157-79.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Кол-во газа в баллоне, м3: 6,2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Вместимость баллона, дм3: 40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Давление в баллоне при темп.20ºC, МПа: 14,7±0,5 МПа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Аргон, %, не менее: 99,993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Кислород, % не более:</w:t>
              <w:tab/>
              <w:t>0,0007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Объемная доля суммы углеродсодержащих соединений в пересчете на СО 2 ,% не более: 0,0005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Азот, % не более: 0,005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Влага, при н.у. млн. ˉ¹ , % не более: 0,0009</w:t>
            </w:r>
          </w:p>
        </w:tc>
        <w:tc>
          <w:tcPr>
            <w:tcW w:w="21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Пропан сжиженный 50л баллон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Пропан ГОСТ Р 52087-2018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Химич.формула - С3Н8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Молекулярный вес - 44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Удельный вес - 0,510кг/л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Точка кипения - (-43 Сº)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Минимальная теплопроводная способность -11070Ккал/кг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Температура зажигания - 510 Сº на воздухе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Пределы зажигания в % от объема - от 2,1-9,5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Объем, куб.м (при темп. 0 °С и дав. 1 атм) - 9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Вес, кг</w:t>
              <w:tab/>
              <w:t>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r>
          </w:p>
        </w:tc>
        <w:tc>
          <w:tcPr>
            <w:tcW w:w="21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Нефрас 80/120 (бензин "Калоша")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</w:tc>
        <w:tc>
          <w:tcPr>
            <w:tcW w:w="453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8"/>
                <w:lang w:val="ru-RU" w:eastAsia="ru-RU" w:bidi="ar-SA"/>
              </w:rPr>
              <w:t>Высший сорт ТУ 38.401-67-108-92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Прозрачная, слегка желтоватая жидкость. Не содержит взвешенных и осевших на дно посторонних примесей, в том числе воды.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Применение: в качестве растворителя в резинотехнической и латексной промышленности, а также в качестве обезжиривающего растворителя, для промывки деталей электрооборудования, тканей перед покраской.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Плотность, г/см3, не более 0,700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Фракционный состав: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температура начала перегонки, °С,не ниже 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 110 °С, перегоняется, %, не менее 98;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 120°С перегоняется, %, не менее –;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остаток в колбе после перегонки, %,               не более 1,0;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Бромное число, г брома на 100 см3 бензина, не более 0,08;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Массовая доля ароматических углеводородов, %, не более 1,5;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меркаптановой серы-отсутствие;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Массовая доля серы, %, не более 0,018;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водорастворимых кислот и щелочей – отсутствие;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механических примесей и воды 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Испытание на образование масляного пятна – выдерживает;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тетраэтилсвинца – отсутствие.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Фасовка: канистра – 10 л.</w:t>
            </w:r>
          </w:p>
        </w:tc>
        <w:tc>
          <w:tcPr>
            <w:tcW w:w="21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7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32" w:hanging="432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Требование к качеству</w:t>
            </w:r>
          </w:p>
        </w:tc>
        <w:tc>
          <w:tcPr>
            <w:tcW w:w="45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Продукция должна быть новая, ранее не используемая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both"/>
              <w:rPr>
                <w:strike/>
                <w:sz w:val="22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lang w:val="ru-RU" w:eastAsia="ru-RU" w:bidi="ar-SA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32" w:hanging="432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Год выпуска продукции (оборудования)</w:t>
            </w:r>
          </w:p>
        </w:tc>
        <w:tc>
          <w:tcPr>
            <w:tcW w:w="45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center"/>
              <w:rPr>
                <w:sz w:val="24"/>
                <w:szCs w:val="20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2026-2027 гг.</w:t>
            </w:r>
          </w:p>
        </w:tc>
        <w:tc>
          <w:tcPr>
            <w:tcW w:w="21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7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хранения.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филиал Западные электрические сети ЗЭС ПАО "Якутскэнерго", 678170, Республика Саха (Якутия), г.Мирный, Ленинградский пр., 5/2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4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15150-69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lang w:val="ru-RU" w:eastAsia="ru-RU"/>
              </w:rPr>
            </w:pPr>
            <w:bookmarkStart w:id="28" w:name="_Toc161745547"/>
            <w:bookmarkStart w:id="29" w:name="_Toc199336648"/>
            <w:bookmarkStart w:id="30" w:name="_Toc199338447"/>
            <w:bookmarkStart w:id="31" w:name="_Toc200446770"/>
            <w:bookmarkStart w:id="32" w:name="_Toc225320220"/>
            <w:r>
              <w:rPr>
                <w:rFonts w:eastAsia="Times New Roman" w:cs="Times New Roman"/>
                <w:b w:val="false"/>
                <w:kern w:val="0"/>
                <w:sz w:val="22"/>
                <w:szCs w:val="20"/>
                <w:lang w:val="ru-RU" w:eastAsia="ru-RU" w:bidi="ar-SA"/>
              </w:rPr>
              <w:t>Согласие с требованием</w:t>
            </w:r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4.</w:t>
            </w:r>
          </w:p>
        </w:tc>
        <w:tc>
          <w:tcPr>
            <w:tcW w:w="737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</w:rPr>
            </w:pPr>
            <w:bookmarkStart w:id="33" w:name="_Toc199336649"/>
            <w:bookmarkStart w:id="34" w:name="_Toc199338448"/>
            <w:bookmarkStart w:id="35" w:name="_Toc200446771"/>
            <w:bookmarkStart w:id="36" w:name="_Toc225320221"/>
            <w:r>
              <w:rPr>
                <w:rFonts w:eastAsia="Times New Roman" w:cs="Times New Roman"/>
                <w:b w:val="false"/>
                <w:kern w:val="0"/>
                <w:sz w:val="22"/>
                <w:szCs w:val="20"/>
                <w:lang w:val="ru-RU" w:eastAsia="ru-RU" w:bidi="ar-SA"/>
              </w:rPr>
              <w:t>Предоставление подтверждающего документа</w:t>
            </w:r>
            <w:bookmarkEnd w:id="33"/>
            <w:bookmarkEnd w:id="34"/>
            <w:bookmarkEnd w:id="35"/>
            <w:bookmarkEnd w:id="36"/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ru-RU" w:eastAsia="ru-RU" w:bidi="ar-SA"/>
              </w:rPr>
              <w:t>5.</w:t>
            </w:r>
          </w:p>
        </w:tc>
        <w:tc>
          <w:tcPr>
            <w:tcW w:w="737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0"/>
                <w:lang w:val="ru-RU" w:eastAsia="ru-RU" w:bidi="ar-SA"/>
              </w:rPr>
            </w:r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lang w:val="ru-RU" w:eastAsia="ru-RU" w:bidi="ar-SA"/>
              </w:rPr>
              <w:t>5.1</w:t>
            </w:r>
          </w:p>
        </w:tc>
        <w:tc>
          <w:tcPr>
            <w:tcW w:w="28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поз. №1-8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Таблицы 1. «Перечень и объем закупаемого товара»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44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</w:rPr>
            </w:pPr>
            <w:bookmarkStart w:id="37" w:name="_Toc199336650"/>
            <w:bookmarkStart w:id="38" w:name="_Toc199338449"/>
            <w:bookmarkStart w:id="39" w:name="_Toc200446772"/>
            <w:bookmarkStart w:id="40" w:name="_Toc225320222"/>
            <w:r>
              <w:rPr>
                <w:rFonts w:eastAsia="Times New Roman" w:cs="Arial"/>
                <w:b w:val="false"/>
                <w:kern w:val="0"/>
                <w:sz w:val="20"/>
                <w:szCs w:val="20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  <w:bookmarkEnd w:id="37"/>
            <w:bookmarkEnd w:id="38"/>
            <w:bookmarkEnd w:id="39"/>
            <w:bookmarkEnd w:id="40"/>
          </w:p>
        </w:tc>
        <w:tc>
          <w:tcPr>
            <w:tcW w:w="29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9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spacing w:before="40" w:after="120"/>
        <w:ind w:right="-28" w:hanging="0"/>
        <w:jc w:val="both"/>
        <w:rPr>
          <w:b/>
          <w:bCs/>
          <w:i/>
          <w:i/>
          <w:iCs/>
          <w:sz w:val="22"/>
          <w:szCs w:val="22"/>
        </w:rPr>
      </w:pPr>
      <w:r>
        <w:rPr/>
      </w:r>
      <w:bookmarkStart w:id="41" w:name="_Ref40301253"/>
      <w:bookmarkStart w:id="42" w:name="_Ref40301253"/>
      <w:bookmarkEnd w:id="42"/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D117-5685-46D3-943C-38D26DED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Application>AlterOffice/3.4.0.9$Linux_X86_64 LibreOffice_project/b8daf9e823b1a5463a2f48435ddc2e8696e7d4fc</Application>
  <AppVersion>15.0000</AppVersion>
  <Pages>10</Pages>
  <Words>1404</Words>
  <Characters>9010</Characters>
  <CharactersWithSpaces>10183</CharactersWithSpaces>
  <Paragraphs>257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2023-02-28T01:07:00Z</dcterms:created>
  <dc:creator>Быстров Олег Геннадьевич</dc:creator>
  <dc:description/>
  <dc:language>ru-RU</dc:language>
  <cp:lastModifiedBy>arnsttg@Elektra.local</cp:lastModifiedBy>
  <cp:lastPrinted>2023-06-08T02:05:00Z</cp:lastPrinted>
  <dcterms:modified xsi:type="dcterms:W3CDTF">2026-05-20T13:26:13Z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