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460123" w:rsidRPr="00460123">
        <w:rPr>
          <w:b/>
          <w:snapToGrid w:val="0"/>
          <w:sz w:val="28"/>
          <w:szCs w:val="28"/>
        </w:rPr>
        <w:t xml:space="preserve">оказание услуг </w:t>
      </w:r>
      <w:r w:rsidR="000B7087" w:rsidRPr="000B7087">
        <w:rPr>
          <w:b/>
          <w:snapToGrid w:val="0"/>
          <w:sz w:val="28"/>
          <w:szCs w:val="28"/>
        </w:rPr>
        <w:t xml:space="preserve">по </w:t>
      </w:r>
      <w:r w:rsidR="00C239C5" w:rsidRPr="00C239C5">
        <w:rPr>
          <w:b/>
          <w:snapToGrid w:val="0"/>
          <w:sz w:val="28"/>
          <w:szCs w:val="28"/>
        </w:rPr>
        <w:t xml:space="preserve">аттестации объектов информатизации автоматизированного рабочего места №3 филиала ПАО РусГидро - </w:t>
      </w:r>
      <w:proofErr w:type="spellStart"/>
      <w:r w:rsidR="00C239C5" w:rsidRPr="00C239C5">
        <w:rPr>
          <w:b/>
          <w:snapToGrid w:val="0"/>
          <w:sz w:val="28"/>
          <w:szCs w:val="28"/>
        </w:rPr>
        <w:t>Воткинская</w:t>
      </w:r>
      <w:proofErr w:type="spellEnd"/>
      <w:r w:rsidR="00C239C5" w:rsidRPr="00C239C5">
        <w:rPr>
          <w:b/>
          <w:snapToGrid w:val="0"/>
          <w:sz w:val="28"/>
          <w:szCs w:val="28"/>
        </w:rPr>
        <w:t xml:space="preserve"> ГЭС на соответствие требованиям по технической защите информации, содержащей сведения, составляющие государственную тайну</w:t>
      </w:r>
      <w:bookmarkStart w:id="0" w:name="_GoBack"/>
      <w:bookmarkEnd w:id="0"/>
      <w:r w:rsidR="00B9074A" w:rsidRPr="00460123">
        <w:rPr>
          <w:b/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77F81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C239C5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33</cp:revision>
  <dcterms:created xsi:type="dcterms:W3CDTF">2022-12-13T07:19:00Z</dcterms:created>
  <dcterms:modified xsi:type="dcterms:W3CDTF">2026-05-20T05:41:00Z</dcterms:modified>
</cp:coreProperties>
</file>