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целях подготовки закупочной процедуры на «</w:t>
      </w:r>
      <w:r>
        <w:rPr>
          <w:rFonts w:eastAsia="Calibri" w:cs="Times New Roman"/>
          <w:b/>
          <w:bCs/>
          <w:sz w:val="24"/>
          <w:szCs w:val="24"/>
          <w:lang w:eastAsia="ru-RU"/>
        </w:rPr>
        <w:t xml:space="preserve">ОКПД2 </w:t>
      </w:r>
      <w:r>
        <w:rPr>
          <w:rFonts w:eastAsia="Calibri" w:cs="Times New Roman"/>
          <w:b/>
          <w:bCs/>
          <w:sz w:val="24"/>
          <w:szCs w:val="24"/>
          <w:lang w:eastAsia="ru-RU"/>
        </w:rPr>
        <w:t>71.20.19.130</w:t>
      </w:r>
      <w:r>
        <w:rPr>
          <w:rFonts w:eastAsia="Calibri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b/>
          <w:bCs/>
          <w:sz w:val="24"/>
          <w:szCs w:val="24"/>
          <w:lang w:eastAsia="ru-RU"/>
        </w:rPr>
        <w:t>Услуги по оценке условий труда</w:t>
      </w:r>
      <w:r>
        <w:rPr>
          <w:sz w:val="26"/>
          <w:szCs w:val="26"/>
        </w:rPr>
        <w:t xml:space="preserve">» на 2026 год прошу предоставить технико-коммерческое предложение стоимости оказания услуг  в соответствии с прилагаемым техническим </w:t>
      </w:r>
      <w:r>
        <w:rPr>
          <w:sz w:val="26"/>
          <w:szCs w:val="26"/>
        </w:rPr>
        <w:t>заданием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Техническ</w:t>
      </w:r>
      <w:r>
        <w:rPr>
          <w:sz w:val="26"/>
          <w:szCs w:val="26"/>
        </w:rPr>
        <w:t>ое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задание</w:t>
      </w:r>
      <w:r>
        <w:rPr>
          <w:sz w:val="26"/>
          <w:szCs w:val="26"/>
        </w:rPr>
        <w:t xml:space="preserve"> на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л. в 1 экз.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907" w:right="737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2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Application>AlterOffice/3.4.0.9$Linux_X86_64 LibreOffice_project/b8daf9e823b1a5463a2f48435ddc2e8696e7d4fc</Application>
  <AppVersion>15.0000</AppVersion>
  <Pages>1</Pages>
  <Words>158</Words>
  <Characters>1100</Characters>
  <CharactersWithSpaces>1257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2026-05-20T09:15:58Z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