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954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keepNext w:val="true"/>
        <w:keepLines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59"/>
        <w:ind w:left="709" w:hanging="0"/>
        <w:jc w:val="center"/>
        <w:rPr>
          <w:bCs/>
        </w:rPr>
      </w:pPr>
      <w:r>
        <w:rPr>
          <w:bCs/>
        </w:rPr>
        <w:t xml:space="preserve">ОКПД 2: 45.20.11 Услуги по проведению технического обслуживания и ремонта не гарантийных легковых транспортных средств </w:t>
      </w:r>
    </w:p>
    <w:p>
      <w:pPr>
        <w:pStyle w:val="Normal"/>
        <w:tabs>
          <w:tab w:val="clear" w:pos="708"/>
          <w:tab w:val="left" w:pos="993" w:leader="none"/>
        </w:tabs>
        <w:spacing w:lineRule="auto" w:line="259"/>
        <w:ind w:left="709" w:hanging="0"/>
        <w:jc w:val="center"/>
        <w:rPr/>
      </w:pPr>
      <w:r>
        <w:rPr>
          <w:bCs/>
        </w:rPr>
        <w:t>в населенном пункте Нерюнгри для нужд Строительного и Транспортного участков Нерюнгри Дальневосточного филиала АО "ТК РусГидро"</w:t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Cs/>
          <w:sz w:val="24"/>
          <w:szCs w:val="24"/>
          <w:shd w:fill="FFC000" w:val="clear"/>
        </w:rPr>
        <w:t xml:space="preserve">№ </w:t>
      </w:r>
      <w:r>
        <w:rPr>
          <w:bCs/>
          <w:sz w:val="24"/>
          <w:szCs w:val="24"/>
          <w:shd w:fill="FFC000" w:val="clear"/>
        </w:rPr>
        <w:t>______</w:t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cs="" w:cstheme="minorBidi"/>
                <w:b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560"/>
              <w:tab w:val="right" w:pos="9911" w:leader="dot"/>
            </w:tabs>
            <w:rPr/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cs="" w:cstheme="minorBidi"/>
                <w:b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54643704">
            <w:r>
              <w:rPr>
                <w:webHidden/>
                <w:rStyle w:val="Style14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Требования к перечню и объему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560"/>
              <w:tab w:val="right" w:pos="9911" w:leader="dot"/>
            </w:tabs>
            <w:rPr/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54643706">
            <w:r>
              <w:rPr>
                <w:webHidden/>
                <w:rStyle w:val="Style14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sz w:val="24"/>
              <w:szCs w:val="24"/>
            </w:rPr>
          </w:pPr>
          <w:r>
            <w:rPr>
              <w:rFonts w:eastAsia="" w:eastAsiaTheme="minorEastAsia"/>
              <w:b/>
              <w:sz w:val="24"/>
              <w:szCs w:val="24"/>
              <w:lang w:val="x-none"/>
            </w:rPr>
            <w:t xml:space="preserve">Таблица 2.1. Список ТС </w:t>
          </w:r>
          <w:r>
            <w:rPr>
              <w:rFonts w:eastAsia="" w:eastAsiaTheme="minorEastAsia"/>
              <w:b/>
              <w:sz w:val="24"/>
              <w:szCs w:val="24"/>
            </w:rPr>
            <w:t xml:space="preserve">                   </w:t>
            <w:tab/>
            <w:tab/>
            <w:t xml:space="preserve">                                                                                4</w:t>
          </w:r>
        </w:p>
        <w:p>
          <w:pPr>
            <w:pStyle w:val="TOC1"/>
            <w:tabs>
              <w:tab w:val="clear" w:pos="560"/>
              <w:tab w:val="right" w:pos="9911" w:leader="dot"/>
            </w:tabs>
            <w:rPr/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качеству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560"/>
              <w:tab w:val="right" w:pos="9911" w:leader="dot"/>
            </w:tabs>
            <w:rPr/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" w:cstheme="minorBidi"/>
                <w:b w:val="false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cs="" w:cstheme="minorBidi"/>
                <w:b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</w:r>
            <w:r>
              <w:rPr>
                <w:rStyle w:val="Style14"/>
                <w:rFonts w:cs="" w:cstheme="minorBidi"/>
                <w:b w:val="false"/>
              </w:rPr>
              <w:t>1</w:t>
            </w:r>
          </w:hyperlink>
          <w:r>
            <w:rPr>
              <w:rFonts w:cs="" w:cstheme="minorBidi"/>
              <w:b w:val="false"/>
            </w:rPr>
            <w:t>0</w:t>
          </w:r>
        </w:p>
        <w:p>
          <w:pPr>
            <w:pStyle w:val="TOC1"/>
            <w:rPr/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cs="" w:cstheme="minorBidi"/>
                <w:b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</w:r>
            <w:r>
              <w:rPr>
                <w:rStyle w:val="Style14"/>
                <w:rFonts w:cs="" w:cstheme="minorBidi"/>
                <w:b w:val="false"/>
              </w:rPr>
              <w:t>1</w:t>
            </w:r>
          </w:hyperlink>
          <w:r>
            <w:rPr>
              <w:rFonts w:cs="" w:cstheme="minorBidi"/>
              <w:b w:val="false"/>
            </w:rPr>
            <w:t>0</w:t>
          </w:r>
          <w:r>
            <w:rPr>
              <w:b w:val="false"/>
              <w:rFonts w:cs=""/>
            </w:rPr>
            <w:fldChar w:fldCharType="end"/>
          </w:r>
        </w:p>
      </w:sdtContent>
    </w:sdt>
    <w:p>
      <w:pPr>
        <w:pStyle w:val="TOC1"/>
        <w:rPr>
          <w:b w:val="false"/>
        </w:rPr>
      </w:pPr>
      <w:r>
        <w:rPr>
          <w:b w:val="false"/>
        </w:rPr>
      </w:r>
    </w:p>
    <w:p>
      <w:pPr>
        <w:pStyle w:val="TOC1"/>
        <w:rPr/>
      </w:pPr>
      <w:r>
        <w:rPr/>
      </w:r>
    </w:p>
    <w:p>
      <w:pPr>
        <w:pStyle w:val="TOC1"/>
        <w:rPr/>
      </w:pPr>
      <w:r>
        <w:rPr/>
      </w:r>
    </w:p>
    <w:p>
      <w:pPr>
        <w:pStyle w:val="TOC1"/>
        <w:tabs>
          <w:tab w:val="clear" w:pos="560"/>
          <w:tab w:val="right" w:pos="9911" w:leader="dot"/>
        </w:tabs>
        <w:rPr>
          <w:rFonts w:ascii="Calibri" w:hAnsi="Calibri" w:cs="" w:asciiTheme="minorHAnsi" w:cstheme="minorBidi" w:hAnsiTheme="minorHAnsi"/>
          <w:b w:val="false"/>
        </w:rPr>
      </w:pPr>
      <w:r>
        <w:rPr>
          <w:rFonts w:cs="" w:cstheme="minorBidi" w:ascii="Calibri" w:hAnsi="Calibri"/>
          <w:b w:val="false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bookmarkStart w:id="6" w:name="_GoBack"/>
      <w:bookmarkStart w:id="7" w:name="_GoBack"/>
      <w:bookmarkEnd w:id="7"/>
      <w:r>
        <w:br w:type="page"/>
      </w:r>
    </w:p>
    <w:p>
      <w:pPr>
        <w:pStyle w:val="Heading1"/>
        <w:numPr>
          <w:ilvl w:val="0"/>
          <w:numId w:val="3"/>
        </w:numPr>
        <w:spacing w:before="0" w:after="0"/>
        <w:ind w:left="0" w:hanging="0"/>
        <w:jc w:val="center"/>
        <w:rPr>
          <w:sz w:val="24"/>
          <w:szCs w:val="24"/>
        </w:rPr>
      </w:pPr>
      <w:bookmarkStart w:id="8" w:name="_Toc54643694"/>
      <w:r>
        <w:rPr>
          <w:sz w:val="24"/>
          <w:szCs w:val="24"/>
        </w:rPr>
        <w:t>Общие сведения</w:t>
      </w:r>
      <w:bookmarkEnd w:id="8"/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ind w:left="0" w:firstLine="709"/>
        <w:rPr>
          <w:rStyle w:val="Style8"/>
          <w:b/>
          <w:i w:val="false"/>
          <w:i w:val="false"/>
          <w:shd w:fill="auto" w:val="clear"/>
        </w:rPr>
      </w:pPr>
      <w:bookmarkStart w:id="9" w:name="_Toc46743505"/>
      <w:bookmarkStart w:id="10" w:name="_Toc54643695"/>
      <w:r>
        <w:rPr/>
        <w:t>Обозначения и сокращения</w:t>
      </w:r>
      <w:bookmarkEnd w:id="9"/>
      <w:bookmarkEnd w:id="10"/>
    </w:p>
    <w:tbl>
      <w:tblPr>
        <w:tblW w:w="4678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4"/>
        <w:gridCol w:w="3973"/>
      </w:tblGrid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left="0" w:firstLine="709"/>
        <w:rPr/>
      </w:pPr>
      <w:bookmarkStart w:id="11" w:name="_Toc46743506"/>
      <w:bookmarkStart w:id="12" w:name="_Toc54643696"/>
      <w:r>
        <w:rPr/>
        <w:t>Наименование закупаемой продукции</w:t>
      </w:r>
      <w:bookmarkEnd w:id="11"/>
      <w:bookmarkEnd w:id="12"/>
    </w:p>
    <w:p>
      <w:pPr>
        <w:pStyle w:val="Normal"/>
        <w:tabs>
          <w:tab w:val="clear" w:pos="708"/>
          <w:tab w:val="left" w:pos="993" w:leader="none"/>
        </w:tabs>
        <w:spacing w:lineRule="auto" w:line="25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ОКПД 2: 45.20.11 Услуги по проведению технического обслуживания и ремонта не гарантийных легковых транспортных средств в населенном пункте Нерюнгри для нужд Строительного и Транспортного участков Нерюнгри Дальневосточного филиала АО "ТК РусГидро"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Style w:val="Style8"/>
          <w:rFonts w:eastAsia="Calibri"/>
          <w:b w:val="false"/>
          <w:i w:val="false"/>
          <w:i w:val="false"/>
          <w:sz w:val="24"/>
          <w:szCs w:val="24"/>
          <w:shd w:fill="auto" w:val="clear"/>
        </w:rPr>
      </w:pPr>
      <w:r>
        <w:rPr>
          <w:rFonts w:eastAsia="Calibri"/>
          <w:b w:val="false"/>
          <w:i w:val="false"/>
          <w:sz w:val="24"/>
          <w:szCs w:val="24"/>
          <w:shd w:fill="auto" w:val="clear"/>
        </w:rPr>
      </w:r>
    </w:p>
    <w:p>
      <w:pPr>
        <w:pStyle w:val="Heading4"/>
        <w:numPr>
          <w:ilvl w:val="1"/>
          <w:numId w:val="3"/>
        </w:numPr>
        <w:spacing w:before="0" w:after="0"/>
        <w:ind w:left="0" w:firstLine="709"/>
        <w:rPr/>
      </w:pPr>
      <w:bookmarkStart w:id="13" w:name="_Toc54643697"/>
      <w:bookmarkStart w:id="14" w:name="_Toc46743507"/>
      <w:r>
        <w:rPr/>
        <w:t xml:space="preserve">Цель </w:t>
      </w:r>
      <w:bookmarkEnd w:id="14"/>
      <w:r>
        <w:rPr/>
        <w:t>оказания услуг</w:t>
      </w:r>
      <w:bookmarkEnd w:id="13"/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Оказание услуг по техническому обслуживанию и ремонту транспортных средств Заказчика осуществляется согласно нормам, правилам и процедурам технического обслуживания и ремонта транспортных средств, которые установлены заводами-изготовителями с учетом условий эксплуатации данных ТС в соответствии с пунктом 2 статьи 18 Федерального закона от 10.12.1995 № 196-ФЗ «О безопасности дорожного движения», с целью обеспечения безопасной эксплуатации ТС и продление эксплуатационного ресурса ТС.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left="0" w:firstLine="709"/>
        <w:rPr/>
      </w:pPr>
      <w:bookmarkStart w:id="15" w:name="_Toc46743508"/>
      <w:bookmarkStart w:id="16" w:name="_Toc54643698"/>
      <w:r>
        <w:rPr/>
        <w:t>Существующее положение</w:t>
      </w:r>
      <w:bookmarkEnd w:id="15"/>
      <w:bookmarkEnd w:id="16"/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Транспортные средства используются по доходному договору </w:t>
      </w:r>
      <w:r>
        <w:rPr>
          <w:sz w:val="24"/>
          <w:szCs w:val="24"/>
          <w:highlight w:val="yellow"/>
        </w:rPr>
        <w:t>№ 044-АХР ДОР-2026-УКС от 29.12.025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0"/>
        </w:tabs>
        <w:spacing w:before="0" w:after="0"/>
        <w:ind w:firstLine="709"/>
        <w:rPr>
          <w:sz w:val="24"/>
          <w:szCs w:val="24"/>
        </w:rPr>
      </w:pPr>
      <w:bookmarkStart w:id="17" w:name="_Toc54643699"/>
      <w:r>
        <w:rPr>
          <w:sz w:val="24"/>
          <w:szCs w:val="24"/>
        </w:rPr>
        <w:t>Таблица 1. Перечень объектов заказчика</w:t>
      </w:r>
      <w:bookmarkEnd w:id="17"/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4"/>
        <w:gridCol w:w="3215"/>
        <w:gridCol w:w="1709"/>
        <w:gridCol w:w="2493"/>
        <w:gridCol w:w="2179"/>
      </w:tblGrid>
      <w:tr>
        <w:trPr>
          <w:trHeight w:val="1523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Расположение объекта </w:t>
              <w:br/>
            </w:r>
            <w:r>
              <w:rPr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основного средства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отношении которого оказываются услуги)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Примечания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1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ОКПД 2: 45.20.11 Услуги по проведению технического обслуживания и ремонта не гарантийных легковых транспортных средств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населенном пункте Нерюнгри для нужд Строительного и Транспортного участков Нерюнгри Дальневосточного филиала АО "ТК РусГидро"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(Якутия),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Нерюнгри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TOYOTA LAND CRUISER 200,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>н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>К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647 </w:t>
            </w:r>
            <w:r>
              <w:rPr>
                <w:rFonts w:eastAsia="Calibri"/>
                <w:sz w:val="20"/>
                <w:szCs w:val="20"/>
                <w:lang w:eastAsia="en-US"/>
              </w:rPr>
              <w:t>ВЕ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790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right="-109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JTMCX</w:t>
            </w:r>
            <w:r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>304096208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15" w:type="dxa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9" w:type="dxa"/>
            <w:vMerge w:val="continue"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TOYOTA LAND CRUISER PRADO 150, </w:t>
            </w:r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>н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>Т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101 </w:t>
            </w:r>
            <w:r>
              <w:rPr>
                <w:rFonts w:eastAsia="Calibri"/>
                <w:sz w:val="20"/>
                <w:szCs w:val="20"/>
                <w:lang w:eastAsia="en-US"/>
              </w:rPr>
              <w:t>АС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15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right="-109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JTEBU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FJX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093995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15" w:type="dxa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9" w:type="dxa"/>
            <w:vMerge w:val="continue"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TOYOTA FORTUNER, </w:t>
            </w:r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>н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>Е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278</w:t>
            </w:r>
            <w:r>
              <w:rPr>
                <w:rFonts w:eastAsia="Calibri"/>
                <w:sz w:val="20"/>
                <w:szCs w:val="20"/>
                <w:lang w:eastAsia="en-US"/>
              </w:rPr>
              <w:t>АС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41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right="-109" w:hanging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MR0KX3FS100815579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21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TOYOTA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HILUX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2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г.н. Р 386 КО 27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</w:rPr>
              <w:t>MR0KX3FS100805579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1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9" w:type="dxa"/>
            <w:vMerge w:val="continue"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MITSUBISHI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L</w:t>
            </w:r>
            <w:r>
              <w:rPr>
                <w:rFonts w:eastAsia="Calibri"/>
                <w:sz w:val="20"/>
                <w:szCs w:val="20"/>
                <w:lang w:eastAsia="en-US"/>
              </w:rPr>
              <w:t>200,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г.н. О 737 АС 790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right="-109" w:hanging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MMCJJKL10LH023439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УАЗ ХАНТЕР,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г.н. В 996 РР 28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right="-109" w:hanging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XTT</w:t>
            </w:r>
            <w:r>
              <w:rPr>
                <w:rFonts w:eastAsia="Calibri"/>
                <w:sz w:val="20"/>
                <w:szCs w:val="20"/>
                <w:lang w:eastAsia="en-US"/>
              </w:rPr>
              <w:t>315196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B</w:t>
            </w:r>
            <w:r>
              <w:rPr>
                <w:rFonts w:eastAsia="Calibri"/>
                <w:sz w:val="20"/>
                <w:szCs w:val="20"/>
                <w:lang w:eastAsia="en-US"/>
              </w:rPr>
              <w:t>0597463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3"/>
        </w:numPr>
        <w:spacing w:before="240" w:after="0"/>
        <w:ind w:left="0" w:hanging="0"/>
        <w:jc w:val="center"/>
        <w:rPr>
          <w:caps/>
          <w:sz w:val="24"/>
          <w:szCs w:val="24"/>
          <w:lang w:val="ru-RU"/>
        </w:rPr>
      </w:pPr>
      <w:bookmarkStart w:id="18" w:name="_Toc54643702"/>
      <w:bookmarkStart w:id="19" w:name="_Toc51339693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18"/>
      <w:bookmarkEnd w:id="19"/>
    </w:p>
    <w:p>
      <w:pPr>
        <w:pStyle w:val="Heading4"/>
        <w:numPr>
          <w:ilvl w:val="1"/>
          <w:numId w:val="3"/>
        </w:numPr>
        <w:spacing w:before="0" w:after="0"/>
        <w:ind w:left="0" w:firstLine="709"/>
        <w:rPr/>
      </w:pPr>
      <w:bookmarkStart w:id="20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0"/>
    </w:p>
    <w:p>
      <w:pPr>
        <w:pStyle w:val="Heading3"/>
        <w:numPr>
          <w:ilvl w:val="2"/>
          <w:numId w:val="3"/>
        </w:numPr>
        <w:spacing w:before="0" w:after="0"/>
        <w:ind w:left="0" w:firstLine="709"/>
        <w:rPr/>
      </w:pPr>
      <w:bookmarkStart w:id="21" w:name="_Toc54643704"/>
      <w:r>
        <w:rPr/>
        <w:t>Требования к перечню и объему услуг</w:t>
      </w:r>
      <w:bookmarkEnd w:id="21"/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Heading1"/>
        <w:tabs>
          <w:tab w:val="clear" w:pos="0"/>
        </w:tabs>
        <w:ind w:firstLine="709"/>
        <w:rPr>
          <w:sz w:val="24"/>
          <w:szCs w:val="24"/>
        </w:rPr>
      </w:pPr>
      <w:bookmarkStart w:id="22" w:name="_Toc54643705"/>
      <w:bookmarkStart w:id="23" w:name="_Toc51339695"/>
      <w:r>
        <w:rPr>
          <w:sz w:val="24"/>
          <w:szCs w:val="24"/>
        </w:rPr>
        <w:t xml:space="preserve">Таблица 2. Перечень </w:t>
      </w:r>
      <w:bookmarkEnd w:id="23"/>
      <w:r>
        <w:rPr>
          <w:sz w:val="24"/>
          <w:szCs w:val="24"/>
        </w:rPr>
        <w:t>и объем оказываемых услуг</w:t>
      </w:r>
      <w:bookmarkEnd w:id="22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Количество*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         TOYOTA LAND CRUISER 200, 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 xml:space="preserve"> 647 </w:t>
            </w:r>
            <w:r>
              <w:rPr>
                <w:sz w:val="20"/>
                <w:szCs w:val="20"/>
              </w:rPr>
              <w:t>ВЕ</w:t>
            </w:r>
            <w:r>
              <w:rPr>
                <w:sz w:val="20"/>
                <w:szCs w:val="20"/>
                <w:lang w:val="en-US"/>
              </w:rPr>
              <w:t xml:space="preserve"> 790 VIN: JTMCX05J304096208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(ТО – 10 </w:t>
            </w:r>
            <w:r>
              <w:rPr>
                <w:sz w:val="20"/>
                <w:szCs w:val="20"/>
                <w:lang w:val="en-US"/>
              </w:rPr>
              <w:t>000</w:t>
            </w:r>
            <w:r>
              <w:rPr>
                <w:sz w:val="20"/>
                <w:szCs w:val="20"/>
              </w:rPr>
              <w:t xml:space="preserve"> км)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услуга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нормо- час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        TOYOTA LAND CRUISER PRADO 150, г.н. 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 xml:space="preserve"> 101 </w:t>
            </w:r>
            <w:r>
              <w:rPr>
                <w:sz w:val="20"/>
                <w:szCs w:val="20"/>
              </w:rPr>
              <w:t>АС</w:t>
            </w:r>
            <w:r>
              <w:rPr>
                <w:sz w:val="20"/>
                <w:szCs w:val="20"/>
                <w:lang w:val="en-US"/>
              </w:rPr>
              <w:t xml:space="preserve"> 15 VIN: JTEBU3FJX0K093995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(ТО – </w:t>
            </w:r>
            <w:r>
              <w:rPr>
                <w:sz w:val="20"/>
                <w:szCs w:val="20"/>
                <w:lang w:val="en-US"/>
              </w:rPr>
              <w:t>10 000,0</w:t>
            </w:r>
            <w:r>
              <w:rPr>
                <w:sz w:val="20"/>
                <w:szCs w:val="20"/>
              </w:rPr>
              <w:t xml:space="preserve"> км)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услуга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нормо- час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10" w:leader="none"/>
              </w:tabs>
              <w:ind w:left="68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FORTUNER, 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 xml:space="preserve"> 278 </w:t>
            </w:r>
            <w:r>
              <w:rPr>
                <w:sz w:val="20"/>
                <w:szCs w:val="20"/>
              </w:rPr>
              <w:t>АС</w:t>
            </w:r>
            <w:r>
              <w:rPr>
                <w:sz w:val="20"/>
                <w:szCs w:val="20"/>
                <w:lang w:val="en-US"/>
              </w:rPr>
              <w:t xml:space="preserve"> 41 VIN: </w:t>
            </w:r>
            <w:r>
              <w:rPr>
                <w:sz w:val="20"/>
                <w:szCs w:val="20"/>
                <w:lang w:val="en-US" w:eastAsia="en-US"/>
              </w:rPr>
              <w:t>MR0KX3FS100815579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(ТО – </w:t>
            </w:r>
            <w:r>
              <w:rPr>
                <w:sz w:val="20"/>
                <w:szCs w:val="20"/>
                <w:lang w:val="en-US"/>
              </w:rPr>
              <w:t>10 000,0</w:t>
            </w:r>
            <w:r>
              <w:rPr>
                <w:sz w:val="20"/>
                <w:szCs w:val="20"/>
              </w:rPr>
              <w:t xml:space="preserve"> км)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услуга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нормо- час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TOYOTA HILUX, </w:t>
            </w:r>
            <w:r>
              <w:rPr>
                <w:sz w:val="20"/>
                <w:szCs w:val="20"/>
                <w:lang w:eastAsia="en-US"/>
              </w:rPr>
              <w:t>г</w:t>
            </w:r>
            <w:r>
              <w:rPr>
                <w:sz w:val="20"/>
                <w:szCs w:val="20"/>
                <w:lang w:val="en-US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sz w:val="20"/>
                <w:szCs w:val="20"/>
                <w:lang w:eastAsia="en-US"/>
              </w:rPr>
              <w:t>Р</w:t>
            </w:r>
            <w:r>
              <w:rPr>
                <w:sz w:val="20"/>
                <w:szCs w:val="20"/>
                <w:lang w:val="en-US" w:eastAsia="en-US"/>
              </w:rPr>
              <w:t xml:space="preserve"> 386 </w:t>
            </w:r>
            <w:r>
              <w:rPr>
                <w:sz w:val="20"/>
                <w:szCs w:val="20"/>
                <w:lang w:eastAsia="en-US"/>
              </w:rPr>
              <w:t>КО</w:t>
            </w:r>
            <w:r>
              <w:rPr>
                <w:sz w:val="20"/>
                <w:szCs w:val="20"/>
                <w:lang w:val="en-US" w:eastAsia="en-US"/>
              </w:rPr>
              <w:t xml:space="preserve"> 27 </w:t>
            </w:r>
            <w:r>
              <w:rPr>
                <w:sz w:val="20"/>
                <w:szCs w:val="20"/>
                <w:lang w:val="en-US"/>
              </w:rPr>
              <w:t xml:space="preserve">VIN: </w:t>
            </w:r>
            <w:r>
              <w:rPr>
                <w:sz w:val="20"/>
                <w:szCs w:val="22"/>
                <w:lang w:val="en-US"/>
              </w:rPr>
              <w:t>MR0KX3FS100805579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(ТО – </w:t>
            </w:r>
            <w:r>
              <w:rPr>
                <w:sz w:val="20"/>
                <w:szCs w:val="20"/>
                <w:lang w:val="en-US"/>
              </w:rPr>
              <w:t>10 000,0</w:t>
            </w:r>
            <w:r>
              <w:rPr>
                <w:sz w:val="20"/>
                <w:szCs w:val="20"/>
              </w:rPr>
              <w:t xml:space="preserve"> км)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услуга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нормо- час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98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i/>
                <w:i/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t>MITSUBISHI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L</w:t>
            </w:r>
            <w:r>
              <w:rPr>
                <w:sz w:val="20"/>
                <w:szCs w:val="20"/>
                <w:lang w:eastAsia="en-US"/>
              </w:rPr>
              <w:t xml:space="preserve">200, г.н. О 737 АС 790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 w:eastAsia="en-US"/>
              </w:rPr>
              <w:t>MMCJJKL</w:t>
            </w:r>
            <w:r>
              <w:rPr>
                <w:sz w:val="20"/>
                <w:szCs w:val="20"/>
                <w:lang w:eastAsia="en-US"/>
              </w:rPr>
              <w:t>10</w:t>
            </w:r>
            <w:r>
              <w:rPr>
                <w:sz w:val="20"/>
                <w:szCs w:val="20"/>
                <w:lang w:val="en-US" w:eastAsia="en-US"/>
              </w:rPr>
              <w:t>LH</w:t>
            </w:r>
            <w:r>
              <w:rPr>
                <w:sz w:val="20"/>
                <w:szCs w:val="20"/>
                <w:lang w:eastAsia="en-US"/>
              </w:rPr>
              <w:t>023439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(ТО – </w:t>
            </w:r>
            <w:r>
              <w:rPr>
                <w:sz w:val="20"/>
                <w:szCs w:val="20"/>
                <w:lang w:val="en-US"/>
              </w:rPr>
              <w:t>10 000,0</w:t>
            </w:r>
            <w:r>
              <w:rPr>
                <w:sz w:val="20"/>
                <w:szCs w:val="20"/>
              </w:rPr>
              <w:t xml:space="preserve"> км)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услуга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нормо- час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98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0" w:hanging="0"/>
              <w:rPr>
                <w:i/>
                <w:i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УАЗ ХАНТЕР, г.н. В 996 РР 28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 w:eastAsia="en-US"/>
              </w:rPr>
              <w:t>XTT</w:t>
            </w:r>
            <w:r>
              <w:rPr>
                <w:sz w:val="20"/>
                <w:szCs w:val="20"/>
                <w:lang w:eastAsia="en-US"/>
              </w:rPr>
              <w:t>315196</w:t>
            </w:r>
            <w:r>
              <w:rPr>
                <w:sz w:val="20"/>
                <w:szCs w:val="20"/>
                <w:lang w:val="en-US" w:eastAsia="en-US"/>
              </w:rPr>
              <w:t>B</w:t>
            </w:r>
            <w:r>
              <w:rPr>
                <w:sz w:val="20"/>
                <w:szCs w:val="20"/>
                <w:lang w:eastAsia="en-US"/>
              </w:rPr>
              <w:t>0597463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(ТО – </w:t>
            </w:r>
            <w:r>
              <w:rPr>
                <w:sz w:val="20"/>
                <w:szCs w:val="20"/>
                <w:lang w:val="en-US"/>
              </w:rPr>
              <w:t>10 000,0</w:t>
            </w:r>
            <w:r>
              <w:rPr>
                <w:sz w:val="20"/>
                <w:szCs w:val="20"/>
              </w:rPr>
              <w:t xml:space="preserve"> км)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услуга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нормо- час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ind w:firstLine="567"/>
        <w:jc w:val="both"/>
        <w:rPr>
          <w:rStyle w:val="Strong1"/>
          <w:b w:val="false"/>
          <w:i/>
          <w:i/>
          <w:sz w:val="24"/>
          <w:szCs w:val="24"/>
        </w:rPr>
      </w:pPr>
      <w:r>
        <w:rPr>
          <w:rStyle w:val="Strong1"/>
          <w:b w:val="false"/>
          <w:i/>
          <w:sz w:val="24"/>
          <w:szCs w:val="24"/>
        </w:rPr>
        <w:t>* Объем продукции является ориентировочным, Заказчик не несет ответственности за неполную выборку продукции на общую сумму договора.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spacing w:before="0" w:after="0"/>
        <w:ind w:left="0" w:firstLine="709"/>
        <w:rPr/>
      </w:pPr>
      <w:bookmarkStart w:id="24" w:name="_Toc54643706"/>
      <w:bookmarkStart w:id="25" w:name="_Toc51339696"/>
      <w:r>
        <w:rPr/>
        <w:t xml:space="preserve">Требования </w:t>
      </w:r>
      <w:bookmarkEnd w:id="25"/>
      <w:r>
        <w:rPr/>
        <w:t>к срокам оказания услуг</w:t>
      </w:r>
      <w:bookmarkEnd w:id="24"/>
    </w:p>
    <w:p>
      <w:pPr>
        <w:pStyle w:val="Heading1"/>
        <w:tabs>
          <w:tab w:val="clear" w:pos="0"/>
        </w:tabs>
        <w:ind w:firstLine="709"/>
        <w:rPr>
          <w:sz w:val="24"/>
          <w:szCs w:val="24"/>
          <w:lang w:val="ru-RU"/>
        </w:rPr>
      </w:pPr>
      <w:bookmarkStart w:id="26" w:name="_Toc54643707"/>
      <w:bookmarkStart w:id="27" w:name="_Toc50125127"/>
      <w:bookmarkStart w:id="28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9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7"/>
      <w:bookmarkEnd w:id="28"/>
      <w:bookmarkEnd w:id="29"/>
      <w:r>
        <w:rPr>
          <w:sz w:val="24"/>
          <w:szCs w:val="24"/>
          <w:lang w:val="ru-RU"/>
        </w:rPr>
        <w:t>оказания услуг</w:t>
      </w:r>
      <w:bookmarkEnd w:id="26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7"/>
        <w:gridCol w:w="3544"/>
        <w:gridCol w:w="2688"/>
        <w:gridCol w:w="3118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31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ОКПД 2: 45.20.11 Услуги по проведению технического обслуживания и ремонта не гарантийных легковых транспортных средств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в населенном пункте Нерюнгри для нужд Строительного и Транспортного участков Нерюнгри Дальневосточного филиала АО "ТК РусГидро"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31.12.202</w:t>
            </w:r>
            <w:r>
              <w:rPr>
                <w:sz w:val="22"/>
                <w:szCs w:val="24"/>
                <w:lang w:val="en-US"/>
              </w:rPr>
              <w:t>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0" w:hanging="0"/>
        <w:rPr/>
      </w:pPr>
      <w:r>
        <w:rPr/>
        <w:t>Требования к качеству услуг</w:t>
      </w:r>
    </w:p>
    <w:p>
      <w:pPr>
        <w:pStyle w:val="Heading1"/>
        <w:keepLines/>
        <w:tabs>
          <w:tab w:val="clear" w:pos="0"/>
        </w:tabs>
        <w:spacing w:before="240" w:after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</w:t>
      </w:r>
      <w:r>
        <w:rPr>
          <w:b w:val="false"/>
          <w:bCs w:val="false"/>
          <w:sz w:val="26"/>
          <w:szCs w:val="26"/>
        </w:rPr>
        <w:t>ОКПД 2: 45.20.11 Услуги по проведению технического обслуживания и ремонта не гарантийных легковых транспортных средств в населенном пункте Нерюнгри для нужд Строительного и Транспортного участков Нерюнгри Дальневосточного филиала АО "ТК РусГидро"</w:t>
      </w:r>
    </w:p>
    <w:p>
      <w:pPr>
        <w:pStyle w:val="Normal"/>
        <w:jc w:val="both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Style w:val="affff8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4921"/>
        <w:gridCol w:w="1843"/>
        <w:gridCol w:w="1703"/>
        <w:gridCol w:w="1558"/>
      </w:tblGrid>
      <w:tr>
        <w:trPr>
          <w:trHeight w:val="20" w:hRule="atLeast"/>
        </w:trPr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92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bookmarkStart w:id="30" w:name="_Toc53499667"/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1</w:t>
            </w:r>
            <w:bookmarkEnd w:id="30"/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Использование собственных расходных материалов и запчастей Исполнителя.</w:t>
            </w:r>
          </w:p>
        </w:tc>
        <w:tc>
          <w:tcPr>
            <w:tcW w:w="492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Наличие собственных материалов и запчастей Исполнителя при оказании услуги.</w:t>
            </w:r>
          </w:p>
        </w:tc>
        <w:tc>
          <w:tcPr>
            <w:tcW w:w="18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Осуществление контроля.</w:t>
            </w:r>
          </w:p>
        </w:tc>
        <w:tc>
          <w:tcPr>
            <w:tcW w:w="492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Осуществлять допуск Заказчика к проведению контроля за выполняемыми работами при оказании услуги по ремонту ТС.</w:t>
            </w:r>
          </w:p>
        </w:tc>
        <w:tc>
          <w:tcPr>
            <w:tcW w:w="18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Возможность выбора запасных частей и расходных материалов.</w:t>
            </w:r>
          </w:p>
        </w:tc>
        <w:tc>
          <w:tcPr>
            <w:tcW w:w="492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Предоставить возможность выбора запасных частей и расходных материалов у различных официальных источников.</w:t>
            </w:r>
          </w:p>
        </w:tc>
        <w:tc>
          <w:tcPr>
            <w:tcW w:w="18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Отходы, образовавшиеся в результате оказания Услуг являются собственностью Исполнителя</w:t>
            </w:r>
          </w:p>
        </w:tc>
        <w:tc>
          <w:tcPr>
            <w:tcW w:w="492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обязан собственными силами и за свой счет осуществлять деятельность по обращению с образовавшимися отходами в соответствии с действующим законодательством РФ.</w:t>
            </w:r>
          </w:p>
        </w:tc>
        <w:tc>
          <w:tcPr>
            <w:tcW w:w="18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4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4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Техническое обслуживание и текущий ремонт транспортных средств должно соответствовать  установленным нормам и правилам процедуры технического обслуживания и ремонта транспортных средств, установленными заводом-изготовителем и правилами оказания услуг (выполнения работ) по техническому обслуживанию и ремонту АМТС Российской Федерации Утвержденными Постановлением Правительства Российской Федерации от 11 апреля 2001 г. № 290 (в ред. Постановлений Правительства РФ от  31.01.2017 N 109).</w:t>
            </w:r>
          </w:p>
        </w:tc>
        <w:tc>
          <w:tcPr>
            <w:tcW w:w="18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Сроки выполнения работ и оказания услуг по ТО и ремонту автомашин должны составлять: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по техническому обслуживанию - в соответствии с действующими нормативами, но не более 1 календарного дня;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по текущему ремонту - в соответствии с действующими нормативами, но не более 5 календарных дней;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случае, если для выполнения соответствующих работ требуются запасные части, срок поставки которых превышает указанный выше, по согласованию с Заказчиком срок выполнения работ может быть продлен.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характеристикам устанавливаемых деталей, узлов, механизмов, материалам, маслам и специальных жидкостей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Устанавливаемые и используемые на ТС детали, узлы, механизмы, материалы, приборы, масла и специальные жидкости должны быть новыми, не бывшим в употреблении, не восстановленными, не содержать восстановленных элементов, не должны иметь дефектов, связанных с конструкцией, материалами или работой по их изготовлению. Должны соответствовать рекомендациям, изложенным в руководстве по эксплуатации, выданным заводом-изготовителем, для данной марки автомобиля.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При проведении ремонта применяется единый тариф за 1 нормо/час.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Проведение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 xml:space="preserve"> ТО и ТР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ТС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должно выполняться квалифицированным персоналом.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После оказания услуг ТС должно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движения»).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средства после ремонта должны удовлетворять требованиям Федерального закона от 10.12.1995г. № 196-ФЗ «О безопасности дорожного движения» (с изм., внесенными Постановлением КС РФ от 27.10.2022 N 46-П), Техническим регламентом ТР ТС 018/2011 Таможенного союза «О безопасности колесных транспортных средств» и законодательства Российской Федерации.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Осмотр транспортного средства после оказания услуг.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После оказания услуг Заказчик проводит визуальный осмотр транспортного средства на предмет комплектности и технического состояния автотранспорта, осмотр автотранспорта в соответствии с выполненными работами по техническому обслуживанию и/или текущему ремонту, исправности узлов и агрегатов, подвергшихся ремонту. Осмотр с целью обеспечения безопасности дорожного движения.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Акт сдачи приемки оказанных услуг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передает Заказчику акт сдачи-приемки оказанных услуг в двух экземплярах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Заказ-наряд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передает Заказчику Заказ-наряд в двух экземплярах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Счет на оплату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передает счет на оплату после оказания услуги.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Нормативные документы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по требованию Заказчика должен предоставить в электронном виде нормативы трудоемкостей на проведение технического обслуживания и ремонта ТС, установленные заводом-изготовителем, согласно VIN, либо предоставить представителю Заказчика на СТО автоматизированное рабочее место для осуществления проверки нормирования оказанных услуг и стоимости запасных частей, заменённых в ходе ремонта транспорта Заказчика.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Гарантийные обязательства на оказанные Услуги должны составлять не менее 6 (Шести) месяцев или 10 000 км. пробега (в зависимости, что наступит раньше). Гарантийный срок на замененные в процессе обслуживания или ремонта детали и механизмы должен составлять не менее установленного заводом изготовителем.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keepLines/>
        <w:numPr>
          <w:ilvl w:val="0"/>
          <w:numId w:val="3"/>
        </w:numPr>
        <w:spacing w:before="0" w:after="0"/>
        <w:ind w:left="0" w:firstLine="709"/>
        <w:jc w:val="center"/>
        <w:rPr>
          <w:lang w:val="ru-RU"/>
        </w:rPr>
      </w:pPr>
      <w:bookmarkStart w:id="31" w:name="_Toc54281228"/>
      <w:bookmarkStart w:id="32" w:name="_Toc54643711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1"/>
      <w:bookmarkEnd w:id="32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Spacing"/>
        <w:spacing w:lineRule="auto" w:line="240"/>
        <w:ind w:firstLine="709"/>
        <w:jc w:val="both"/>
        <w:rPr>
          <w:lang w:val="x-none" w:eastAsia="x-none"/>
        </w:rPr>
      </w:pPr>
      <w:r>
        <w:rPr/>
        <w:t>3.1.</w:t>
        <w:tab/>
        <w:t>Общая цена за единицу услуг остаётся фиксированной на весь срок действия договора и не подлежит изменению;</w:t>
      </w:r>
    </w:p>
    <w:p>
      <w:pPr>
        <w:pStyle w:val="NoSpacing"/>
        <w:spacing w:lineRule="auto" w:line="240"/>
        <w:ind w:firstLine="709"/>
        <w:jc w:val="both"/>
        <w:rPr>
          <w:lang w:val="x-none" w:eastAsia="x-none"/>
        </w:rPr>
      </w:pPr>
      <w:r>
        <w:rPr/>
        <w:t>3.2.</w:t>
        <w:tab/>
        <w:t>В стоимость услуги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rPr/>
      </w:pPr>
      <w:r>
        <w:rPr/>
        <w:t xml:space="preserve">  </w:t>
      </w:r>
      <w:r>
        <w:rPr/>
        <w:tab/>
        <w:t xml:space="preserve">      5. Приложения</w:t>
      </w:r>
    </w:p>
    <w:p>
      <w:pPr>
        <w:pStyle w:val="NoSpacing"/>
        <w:numPr>
          <w:ilvl w:val="0"/>
          <w:numId w:val="8"/>
        </w:numPr>
        <w:spacing w:lineRule="auto" w:line="240"/>
        <w:rPr/>
      </w:pPr>
      <w:r>
        <w:rPr/>
        <w:t>Регламент технического обслуживания легковых транспортных средств.</w:t>
      </w:r>
    </w:p>
    <w:p>
      <w:pPr>
        <w:pStyle w:val="NoSpacing"/>
        <w:spacing w:lineRule="auto" w:line="240"/>
        <w:ind w:left="1069" w:hanging="0"/>
        <w:rPr/>
      </w:pPr>
      <w:r>
        <w:rPr/>
      </w:r>
    </w:p>
    <w:p>
      <w:pPr>
        <w:pStyle w:val="NoSpacing"/>
        <w:spacing w:lineRule="auto" w:line="240"/>
        <w:rPr/>
      </w:pPr>
      <w:r>
        <w:rPr/>
      </w:r>
    </w:p>
    <w:p>
      <w:pPr>
        <w:pStyle w:val="NoSpacing"/>
        <w:spacing w:lineRule="auto" w:line="240"/>
        <w:rPr/>
      </w:pPr>
      <w:r>
        <w:rPr/>
      </w:r>
    </w:p>
    <w:p>
      <w:pPr>
        <w:pStyle w:val="Normal"/>
        <w:rPr>
          <w:rFonts w:eastAsia="Calibri"/>
          <w:b/>
          <w:iCs/>
          <w:sz w:val="24"/>
          <w:szCs w:val="24"/>
          <w:lang w:val="x-none" w:eastAsia="x-none"/>
        </w:rPr>
      </w:pPr>
      <w:r>
        <w:rPr>
          <w:rFonts w:eastAsia="Calibri"/>
          <w:b/>
          <w:iCs/>
          <w:sz w:val="24"/>
          <w:szCs w:val="24"/>
          <w:lang w:val="x-none" w:eastAsia="x-none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</w:p>
    <w:p>
      <w:pPr>
        <w:pStyle w:val="Normal"/>
        <w:jc w:val="right"/>
        <w:rPr/>
      </w:pPr>
      <w:r>
        <w:rPr/>
        <w:t>Приложение № 1</w:t>
      </w:r>
    </w:p>
    <w:p>
      <w:pPr>
        <w:pStyle w:val="BodyText"/>
        <w:rPr/>
      </w:pPr>
      <w:r>
        <w:rPr/>
      </w:r>
    </w:p>
    <w:tbl>
      <w:tblPr>
        <w:tblW w:w="15479" w:type="dxa"/>
        <w:jc w:val="left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VBand="1" w:noHBand="0" w:lastColumn="0" w:firstColumn="1" w:lastRow="0" w:firstRow="1"/>
      </w:tblPr>
      <w:tblGrid>
        <w:gridCol w:w="636"/>
        <w:gridCol w:w="7134"/>
        <w:gridCol w:w="856"/>
        <w:gridCol w:w="854"/>
        <w:gridCol w:w="855"/>
        <w:gridCol w:w="856"/>
        <w:gridCol w:w="854"/>
        <w:gridCol w:w="855"/>
        <w:gridCol w:w="859"/>
        <w:gridCol w:w="854"/>
        <w:gridCol w:w="853"/>
        <w:gridCol w:w="12"/>
      </w:tblGrid>
      <w:tr>
        <w:trPr>
          <w:trHeight w:val="174" w:hRule="atLeast"/>
        </w:trPr>
        <w:tc>
          <w:tcPr>
            <w:tcW w:w="154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b/>
              </w:rPr>
              <w:t>Регламент технического обслуживания легковых транспортных средств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7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  <w:bCs/>
              </w:rPr>
              <w:t>Список работ</w:t>
            </w:r>
          </w:p>
        </w:tc>
        <w:tc>
          <w:tcPr>
            <w:tcW w:w="7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Межсервисный интервал</w:t>
            </w:r>
          </w:p>
        </w:tc>
      </w:tr>
      <w:tr>
        <w:trPr>
          <w:trHeight w:val="174" w:hRule="atLeast"/>
        </w:trPr>
        <w:tc>
          <w:tcPr>
            <w:tcW w:w="777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10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т. км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20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т. км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30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т .км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40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т. км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50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т .км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60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т. км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70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т. км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80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т. км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90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 xml:space="preserve"> </w:t>
            </w:r>
            <w:r>
              <w:rPr>
                <w:b/>
                <w:bCs/>
                <w:sz w:val="26"/>
                <w:szCs w:val="18"/>
              </w:rPr>
              <w:t>т. км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Приводные ремни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Моторное масло, масляный фильтр двигателя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2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охлаждения и обогрева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Охлаждающая жидкость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Выхлопные трубы и крепления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Свечи зажигания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Аккумуляторная батарея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2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Топливный фильтр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З*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З*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З*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З*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З*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З*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фильтр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Крышка топливного бака, топливопроводы, клапан давления паров топлива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Адсорбер паров топлива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2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Фиксация напольного коврика водителя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Педаль тормоза и стояночный тормоз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Тормозные накладки и тормозные барабаны (включая тормозные накладки ручного тормоза)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Тормозные колодки и тормозные диски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Тормозная жидкость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2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Трубки и шланги тормозной системы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Вакуумный насос усилителя тормозной системы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Рулевое колесо, привод и редуктор рулевого управления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Карданные валы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2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</w:rPr>
              <w:t>Шарниры подвесок, пыльники шарниров, люфты ступичных подшипников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</w:rPr>
              <w:t>Автоматическая трансмиссия (АКПП)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Механическая трансмиссия (МКПП)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</w:rPr>
              <w:t>Проверка масла в раздаточной коробке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для переднего дифференциала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для заднего дифференциала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Передняя и задняя подвески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Шины и давление в шинах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2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Световые приборы, сигналы, стеклоочистители и омыватели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кондиционера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кондиционирования воздуха и количество хладагента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BodyText"/>
        <w:ind w:left="720" w:hanging="0"/>
        <w:rPr/>
      </w:pPr>
      <w:r>
        <w:rPr/>
      </w:r>
      <m:oMath xmlns:m="http://schemas.openxmlformats.org/officeDocument/2006/math"/>
      <w:r>
        <w:rPr/>
        <w:t xml:space="preserve"> </w:t>
      </w:r>
      <w:r>
        <w:rPr/>
        <w:t>- для дизельных двигателей</w:t>
      </w:r>
    </w:p>
    <w:p>
      <w:pPr>
        <w:pStyle w:val="Normal"/>
        <w:tabs>
          <w:tab w:val="clear" w:pos="708"/>
          <w:tab w:val="left" w:pos="4275" w:leader="none"/>
        </w:tabs>
        <w:rPr/>
      </w:pPr>
      <w:r>
        <w:rPr/>
        <w:t>З — замена; П — осмотр, проверка; С — смазка; Р — проверка момента затяжки.</w:t>
      </w:r>
    </w:p>
    <w:p>
      <w:pPr>
        <w:pStyle w:val="Normal"/>
        <w:tabs>
          <w:tab w:val="clear" w:pos="708"/>
          <w:tab w:val="left" w:pos="4275" w:leader="none"/>
        </w:tabs>
        <w:rPr/>
      </w:pPr>
      <w:r>
        <w:rPr/>
        <w:tab/>
      </w:r>
    </w:p>
    <w:sectPr>
      <w:headerReference w:type="default" r:id="rId9"/>
      <w:headerReference w:type="first" r:id="rId10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7619822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6366081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4356013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5439246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szCs w:val="22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355494"/>
    <w:pPr>
      <w:keepNext w:val="true"/>
      <w:tabs>
        <w:tab w:val="clear" w:pos="708"/>
        <w:tab w:val="left" w:pos="0" w:leader="none"/>
      </w:tabs>
      <w:spacing w:before="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355494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character" w:styleId="Strong11" w:customStyle="1">
    <w:name w:val="Strong11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e63ad3"/>
    <w:rPr>
      <w:color w:val="80808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e55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eastAsia="" w:eastAsiaTheme="minorEastAsia"/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Indexheading111111" w:customStyle="1">
    <w:name w:val="index heading111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111" w:customStyle="1">
    <w:name w:val="caption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2" w:customStyle="1">
    <w:name w:val="index heading2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2" w:customStyle="1">
    <w:name w:val="caption2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Style36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84DEB-A451-4AED-9B9C-A9C84317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Application>AlterOffice/3.4.0.9$Linux_X86_64 LibreOffice_project/b8daf9e823b1a5463a2f48435ddc2e8696e7d4fc</Application>
  <AppVersion>15.0000</AppVersion>
  <Pages>11</Pages>
  <Words>2023</Words>
  <Characters>11689</Characters>
  <CharactersWithSpaces>13212</CharactersWithSpaces>
  <Paragraphs>619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2023-11-15T06:00:00Z</dcterms:created>
  <dc:creator>Быстров Олег Геннадьевич</dc:creator>
  <dc:description/>
  <dc:language>ru-RU</dc:language>
  <cp:lastModifiedBy>sopinav@corp.gidroogk.com</cp:lastModifiedBy>
  <cp:lastPrinted>2026-05-20T06:44:00Z</cp:lastPrinted>
  <dcterms:modified xsi:type="dcterms:W3CDTF">2026-05-20T17:44:04Z</dcterms:modified>
  <cp:revision>44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