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rFonts w:eastAsia="Calibri"/>
          <w:b/>
        </w:rPr>
      </w:pPr>
      <w:r>
        <w:rPr>
          <w:rFonts w:eastAsia="Calibri"/>
          <w:b/>
        </w:rPr>
      </w:r>
    </w:p>
    <w:p>
      <w:pPr>
        <w:pStyle w:val="Normal"/>
        <w:jc w:val="right"/>
        <w:rPr>
          <w:rFonts w:eastAsia="Calibri"/>
          <w:b/>
        </w:rPr>
      </w:pPr>
      <w:r>
        <w:rPr>
          <w:rFonts w:eastAsia="Calibri"/>
          <w:b/>
        </w:rPr>
      </w:r>
    </w:p>
    <w:p>
      <w:pPr>
        <w:pStyle w:val="Normal"/>
        <w:jc w:val="right"/>
        <w:rPr>
          <w:rFonts w:eastAsia="Calibri"/>
          <w:b/>
        </w:rPr>
      </w:pPr>
      <w:r>
        <w:rPr>
          <w:rFonts w:eastAsia="Calibri"/>
          <w:b/>
        </w:rPr>
      </w:r>
    </w:p>
    <w:p>
      <w:pPr>
        <w:pStyle w:val="Normal"/>
        <w:jc w:val="right"/>
        <w:rPr>
          <w:rFonts w:eastAsia="Calibri"/>
          <w:b/>
        </w:rPr>
      </w:pPr>
      <w:r>
        <w:rPr>
          <w:rFonts w:eastAsia="Calibri"/>
          <w:b/>
        </w:rPr>
      </w:r>
    </w:p>
    <w:p>
      <w:pPr>
        <w:pStyle w:val="Normal"/>
        <w:jc w:val="right"/>
        <w:rPr>
          <w:rFonts w:eastAsia="Calibri"/>
          <w:b/>
        </w:rPr>
      </w:pPr>
      <w:r>
        <w:rPr>
          <w:rFonts w:eastAsia="Calibri"/>
          <w:b/>
        </w:rPr>
      </w:r>
    </w:p>
    <w:p>
      <w:pPr>
        <w:pStyle w:val="Normal"/>
        <w:jc w:val="right"/>
        <w:rPr>
          <w:rFonts w:eastAsia="Calibri"/>
          <w:b/>
        </w:rPr>
      </w:pPr>
      <w:r>
        <w:rPr>
          <w:rFonts w:eastAsia="Calibri"/>
          <w:b/>
        </w:rPr>
      </w:r>
    </w:p>
    <w:p>
      <w:pPr>
        <w:pStyle w:val="Normal"/>
        <w:keepNext w:val="true"/>
        <w:keepLines/>
        <w:ind w:left="709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ind w:left="709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ind w:left="709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ind w:left="709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ind w:left="709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ind w:left="709" w:hanging="0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Технические требования на поставку ТМЦ</w:t>
      </w:r>
    </w:p>
    <w:p>
      <w:pPr>
        <w:pStyle w:val="Normal"/>
        <w:keepNext w:val="true"/>
        <w:keepLines/>
        <w:ind w:left="709" w:hanging="0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Heading1"/>
        <w:spacing w:before="0" w:after="0"/>
        <w:ind w:left="567" w:hanging="0"/>
        <w:jc w:val="center"/>
        <w:rPr>
          <w:b w:val="false"/>
          <w:bCs/>
          <w:lang w:val="ru-RU"/>
        </w:rPr>
      </w:pPr>
      <w:bookmarkStart w:id="0" w:name="_Toc230178291"/>
      <w:bookmarkStart w:id="1" w:name="_Toc141696709"/>
      <w:bookmarkStart w:id="2" w:name="_Toc137554589"/>
      <w:bookmarkStart w:id="3" w:name="_Toc139856292"/>
      <w:r>
        <w:rPr/>
        <w:t>«</w:t>
      </w:r>
      <w:bookmarkEnd w:id="1"/>
      <w:bookmarkEnd w:id="2"/>
      <w:bookmarkEnd w:id="3"/>
      <w:r>
        <w:rPr/>
        <w:t xml:space="preserve">ОКПД2 </w:t>
      </w:r>
      <w:r>
        <w:rPr>
          <w:lang w:val="ru-RU"/>
        </w:rPr>
        <w:t>22.19.40</w:t>
      </w:r>
      <w:r>
        <w:rPr/>
        <w:t xml:space="preserve"> Поставка </w:t>
      </w:r>
      <w:r>
        <w:rPr>
          <w:lang w:val="ru-RU"/>
        </w:rPr>
        <w:t xml:space="preserve">конвейерной ленты для </w:t>
      </w:r>
      <w:r>
        <w:rPr>
          <w:lang w:val="ru-RU"/>
        </w:rPr>
        <w:t xml:space="preserve">нужд </w:t>
      </w:r>
      <w:r>
        <w:rPr/>
        <w:t>Филиала ПАО «РусГидро» - «Карачаево-Черкесский филиал».</w:t>
      </w:r>
      <w:bookmarkEnd w:id="0"/>
    </w:p>
    <w:p>
      <w:pPr>
        <w:pStyle w:val="Normal"/>
        <w:keepNext w:val="true"/>
        <w:keepLines/>
        <w:ind w:left="709"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ind w:left="709"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ind w:left="709"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ind w:left="709"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ind w:left="709"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ind w:left="709"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ind w:left="709"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ind w:left="709"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ind w:left="709"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ind w:left="709"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ind w:left="709"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ind w:left="709"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ind w:left="709"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ind w:left="709"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ind w:left="709"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ind w:left="709"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ind w:left="709"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ind w:left="709"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ind w:left="709"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ind w:left="709"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ind w:left="709"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ind w:left="709"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ind w:left="709"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ind w:left="709"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ind w:left="709"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ind w:left="709"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ind w:left="709"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left="709" w:hanging="0"/>
        <w:jc w:val="center"/>
        <w:rPr>
          <w:szCs w:val="2"/>
        </w:rPr>
      </w:pPr>
      <w:r>
        <w:rPr>
          <w:szCs w:val="2"/>
        </w:rPr>
        <w:t xml:space="preserve">п. Правокубанский </w:t>
      </w:r>
    </w:p>
    <w:p>
      <w:pPr>
        <w:pStyle w:val="Normal"/>
        <w:ind w:left="709" w:hanging="0"/>
        <w:jc w:val="center"/>
        <w:rPr>
          <w:szCs w:val="2"/>
        </w:rPr>
      </w:pPr>
      <w:r>
        <w:rPr>
          <w:szCs w:val="2"/>
        </w:rPr>
        <w:t>2026 г.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Normal"/>
        <w:ind w:left="709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left="709" w:hanging="0"/>
        <w:jc w:val="center"/>
        <w:rPr>
          <w:b/>
        </w:rPr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r>
            <w:fldChar w:fldCharType="begin"/>
          </w:r>
          <w:r>
            <w:rPr>
              <w:webHidden/>
              <w:rStyle w:val="Style14"/>
            </w:rPr>
            <w:instrText xml:space="preserve"> TOC \z \o "1-4" \u \h</w:instrText>
          </w:r>
          <w:r>
            <w:rPr>
              <w:webHidden/>
              <w:rStyle w:val="Style14"/>
            </w:rPr>
            <w:fldChar w:fldCharType="separate"/>
          </w:r>
          <w:hyperlink w:anchor="_Toc230178291">
            <w:r>
              <w:rPr>
                <w:webHidden/>
                <w:rStyle w:val="Style14"/>
              </w:rPr>
              <w:t>«ОКПД2 22.19.40 Поставка конвейерной ленты для Филиала ПАО «РусГидро» - «Карачаево-Черкесский филиал».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_Toc230178291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1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426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230178292">
            <w:r>
              <w:rPr>
                <w:webHidden/>
                <w:rStyle w:val="Style14"/>
              </w:rPr>
              <w:t>1.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</w:rPr>
              <w:t>Общие сведения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_Toc230178292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230178293">
            <w:r>
              <w:rPr>
                <w:webHidden/>
                <w:rStyle w:val="Style14"/>
                <w:iCs/>
              </w:rPr>
              <w:t>1.1.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Обозначения и сокращения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_Toc230178293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230178294">
            <w:r>
              <w:rPr>
                <w:webHidden/>
                <w:rStyle w:val="Style14"/>
                <w:iCs/>
              </w:rPr>
              <w:t>1.2.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Наименование закупаемой продукции: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_Toc230178294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230178295">
            <w:r>
              <w:rPr>
                <w:webHidden/>
                <w:rStyle w:val="Style14"/>
                <w:iCs/>
              </w:rPr>
              <w:t>1.3.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Цель использования закупаемой продукции: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_Toc230178295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230178296">
            <w:r>
              <w:rPr>
                <w:webHidden/>
                <w:rStyle w:val="Style14"/>
                <w:iCs/>
              </w:rPr>
              <w:t>1.4.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Существующее положение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_Toc230178296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230178297">
            <w:r>
              <w:rPr>
                <w:webHidden/>
                <w:rStyle w:val="Style14"/>
                <w:iCs/>
              </w:rPr>
              <w:t>1.5.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 этапе исполнения договора):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_Toc230178297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230178298">
            <w:r>
              <w:rPr>
                <w:webHidden/>
                <w:rStyle w:val="Style14"/>
                <w:iCs/>
              </w:rPr>
              <w:t>1.6.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Иные требования и сведения общего характера: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_Toc230178298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426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230178299">
            <w:r>
              <w:rPr>
                <w:webHidden/>
                <w:rStyle w:val="Style14"/>
              </w:rPr>
              <w:t>2.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  <w:iCs/>
              </w:rPr>
              <w:t>Требования к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_Toc230178299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230178300">
            <w:r>
              <w:rPr>
                <w:webHidden/>
                <w:rStyle w:val="Style14"/>
                <w:iCs/>
              </w:rPr>
              <w:t>2.1.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объемам и срокам поставки.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_Toc230178300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230178301">
            <w:r>
              <w:rPr>
                <w:webHidden/>
                <w:rStyle w:val="Style14"/>
              </w:rPr>
              <w:t>2.1.1.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Перечень и объем закупаемой продукции.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_Toc230178301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230178302">
            <w:r>
              <w:rPr>
                <w:webHidden/>
                <w:rStyle w:val="Style14"/>
              </w:rPr>
              <w:t>Таблица 1 Перечень и объем закупаемой продукции: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_Toc230178302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230178303">
            <w:r>
              <w:rPr>
                <w:webHidden/>
                <w:rStyle w:val="Style14"/>
              </w:rPr>
              <w:t>Таблица 2 Перечень и объем закупаемых сопутствующих услуг: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_Toc230178303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230178304">
            <w:r>
              <w:rPr>
                <w:webHidden/>
                <w:rStyle w:val="Style14"/>
              </w:rPr>
              <w:t>2.1.2.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срокам поставки продукции и оказания сопутствующих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_Toc230178304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230178305">
            <w:r>
              <w:rPr>
                <w:webHidden/>
                <w:rStyle w:val="Style14"/>
              </w:rPr>
              <w:t>Таблица 3 Требования по срокам поставки продукции: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_Toc230178305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230178306">
            <w:r>
              <w:rPr>
                <w:webHidden/>
                <w:rStyle w:val="Style14"/>
              </w:rPr>
              <w:t>Таблица 4 Требования по срокам оказания сопутствующих услуг: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_Toc230178306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230178307">
            <w:r>
              <w:rPr>
                <w:webHidden/>
                <w:rStyle w:val="Style14"/>
                <w:iCs/>
              </w:rPr>
              <w:t>2.2.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качеству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_Toc230178307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230178308">
            <w:r>
              <w:rPr>
                <w:webHidden/>
                <w:rStyle w:val="Style14"/>
                <w:iCs/>
              </w:rPr>
              <w:t>2.3.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цене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_Toc230178308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6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230178309">
            <w:r>
              <w:rPr>
                <w:webHidden/>
                <w:rStyle w:val="Style14"/>
                <w:iCs/>
              </w:rPr>
              <w:t>2.4.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доставке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_Toc230178309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6</w:t>
            </w:r>
            <w:r>
              <w:rPr>
                <w:webHidden/>
              </w:rPr>
              <w:fldChar w:fldCharType="end"/>
            </w:r>
          </w:hyperlink>
          <w:r>
            <w:rPr>
              <w:rStyle w:val="Style14"/>
              <w:vanish w:val="false"/>
            </w:rPr>
            <w:fldChar w:fldCharType="end"/>
          </w:r>
        </w:p>
      </w:sdtContent>
    </w:sdt>
    <w:p>
      <w:pPr>
        <w:pStyle w:val="TOC4"/>
        <w:tabs>
          <w:tab w:val="clear" w:pos="708"/>
          <w:tab w:val="left" w:pos="1120" w:leader="none"/>
          <w:tab w:val="right" w:pos="9911" w:leader="dot"/>
        </w:tabs>
        <w:rPr>
          <w:rFonts w:ascii="Calibri" w:hAnsi="Calibri" w:eastAsia="新細明體" w:cs="Arial" w:asciiTheme="minorHAnsi" w:cstheme="minorBidi" w:eastAsiaTheme="minorEastAsia" w:hAnsiTheme="minorHAnsi"/>
          <w:sz w:val="22"/>
          <w:szCs w:val="22"/>
        </w:rPr>
      </w:pPr>
      <w:r>
        <w:rPr>
          <w:rFonts w:eastAsia="新細明體" w:cs="Arial" w:cstheme="minorBidi" w:eastAsiaTheme="minorEastAsia" w:ascii="Calibri" w:hAnsi="Calibri"/>
          <w:sz w:val="22"/>
          <w:szCs w:val="22"/>
        </w:rPr>
      </w:r>
    </w:p>
    <w:p>
      <w:pPr>
        <w:pStyle w:val="TOC4"/>
        <w:tabs>
          <w:tab w:val="clear" w:pos="708"/>
          <w:tab w:val="left" w:pos="1120" w:leader="none"/>
          <w:tab w:val="right" w:pos="9911" w:leader="dot"/>
        </w:tabs>
        <w:rPr>
          <w:rFonts w:ascii="Calibri" w:hAnsi="Calibri" w:eastAsia="新細明體" w:cs="Arial" w:asciiTheme="minorHAnsi" w:cstheme="minorBidi" w:eastAsiaTheme="minorEastAsia" w:hAnsiTheme="minorHAnsi"/>
          <w:sz w:val="22"/>
          <w:szCs w:val="22"/>
        </w:rPr>
      </w:pPr>
      <w:r>
        <w:rPr>
          <w:rFonts w:eastAsia="新細明體" w:cs="Arial" w:cstheme="minorBidi" w:eastAsiaTheme="minorEastAsia" w:ascii="Calibri" w:hAnsi="Calibri"/>
          <w:sz w:val="22"/>
          <w:szCs w:val="22"/>
        </w:rPr>
      </w:r>
    </w:p>
    <w:p>
      <w:pPr>
        <w:pStyle w:val="TOC1"/>
        <w:tabs>
          <w:tab w:val="clear" w:pos="708"/>
          <w:tab w:val="left" w:pos="560" w:leader="none"/>
          <w:tab w:val="right" w:pos="9911" w:leader="dot"/>
        </w:tabs>
        <w:spacing w:before="0" w:after="0"/>
        <w:ind w:left="709" w:hanging="0"/>
        <w:rPr>
          <w:rFonts w:ascii="Calibri" w:hAnsi="Calibri" w:eastAsia="新細明體" w:cs="Arial" w:asciiTheme="minorHAnsi" w:cstheme="minorBidi" w:eastAsiaTheme="minorEastAsia" w:hAnsiTheme="minorHAnsi"/>
          <w:b w:val="false"/>
          <w:bCs w:val="false"/>
          <w:sz w:val="22"/>
          <w:szCs w:val="22"/>
        </w:rPr>
      </w:pPr>
      <w:r>
        <w:rPr>
          <w:rFonts w:eastAsia="新細明體" w:cs="Arial" w:cstheme="minorBidi" w:eastAsiaTheme="minorEastAsia" w:ascii="Calibri" w:hAnsi="Calibri"/>
          <w:b w:val="false"/>
          <w:bCs w:val="false"/>
          <w:sz w:val="22"/>
          <w:szCs w:val="22"/>
        </w:rPr>
      </w:r>
    </w:p>
    <w:p>
      <w:pPr>
        <w:pStyle w:val="Heading2"/>
        <w:tabs>
          <w:tab w:val="clear" w:pos="0"/>
        </w:tabs>
        <w:spacing w:before="0" w:after="0"/>
        <w:ind w:left="709" w:hanging="0"/>
        <w:rPr>
          <w:b w:val="false"/>
          <w:i/>
          <w:i/>
        </w:rPr>
      </w:pPr>
      <w:r>
        <w:rPr>
          <w:b w:val="false"/>
          <w:i/>
        </w:rPr>
      </w:r>
    </w:p>
    <w:p>
      <w:pPr>
        <w:pStyle w:val="Normal"/>
        <w:keepNext w:val="true"/>
        <w:keepLines/>
        <w:ind w:left="709" w:hanging="0"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keepLines/>
        <w:numPr>
          <w:ilvl w:val="0"/>
          <w:numId w:val="3"/>
        </w:numPr>
        <w:spacing w:before="0" w:after="0"/>
        <w:ind w:left="709" w:hanging="357"/>
        <w:jc w:val="center"/>
        <w:rPr>
          <w:lang w:val="ru-RU"/>
        </w:rPr>
      </w:pPr>
      <w:bookmarkStart w:id="4" w:name="_Toc230178292"/>
      <w:bookmarkStart w:id="5" w:name="_Toc51339692"/>
      <w:r>
        <w:rPr>
          <w:lang w:val="ru-RU"/>
        </w:rPr>
        <w:t>Общие сведения</w:t>
      </w:r>
      <w:bookmarkEnd w:id="4"/>
      <w:bookmarkEnd w:id="5"/>
    </w:p>
    <w:p>
      <w:pPr>
        <w:pStyle w:val="Heading4"/>
        <w:numPr>
          <w:ilvl w:val="1"/>
          <w:numId w:val="3"/>
        </w:numPr>
        <w:spacing w:before="0" w:after="0"/>
        <w:ind w:left="709" w:hanging="432"/>
        <w:rPr/>
      </w:pPr>
      <w:bookmarkStart w:id="6" w:name="_Toc230178293"/>
      <w:bookmarkStart w:id="7" w:name="_Toc46743505"/>
      <w:r>
        <w:rPr/>
        <w:t>Обозначения и сокращения</w:t>
      </w:r>
      <w:bookmarkEnd w:id="6"/>
      <w:bookmarkEnd w:id="7"/>
    </w:p>
    <w:p>
      <w:pPr>
        <w:pStyle w:val="Normal"/>
        <w:ind w:left="709" w:hanging="0"/>
        <w:rPr>
          <w:rStyle w:val="Style8"/>
          <w:b w:val="false"/>
          <w:bCs/>
          <w:iCs/>
          <w:sz w:val="26"/>
          <w:szCs w:val="26"/>
        </w:rPr>
      </w:pPr>
      <w:r>
        <w:rPr>
          <w:b w:val="false"/>
          <w:bCs/>
          <w:iCs/>
          <w:sz w:val="26"/>
          <w:szCs w:val="26"/>
        </w:rPr>
      </w:r>
    </w:p>
    <w:tbl>
      <w:tblPr>
        <w:tblW w:w="978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785"/>
        <w:gridCol w:w="7997"/>
      </w:tblGrid>
      <w:tr>
        <w:trPr>
          <w:trHeight w:val="188" w:hRule="atLeast"/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709" w:hanging="0"/>
              <w:jc w:val="center"/>
              <w:rPr>
                <w:rStyle w:val="Strong"/>
                <w:b w:val="false"/>
                <w:sz w:val="24"/>
                <w:szCs w:val="24"/>
              </w:rPr>
            </w:pPr>
            <w:r>
              <w:rPr>
                <w:rStyle w:val="Strong"/>
                <w:b w:val="false"/>
                <w:sz w:val="24"/>
                <w:szCs w:val="24"/>
              </w:rPr>
              <w:t>ГЭС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709" w:hanging="0"/>
              <w:rPr>
                <w:rStyle w:val="Strong"/>
                <w:b w:val="false"/>
                <w:sz w:val="24"/>
                <w:szCs w:val="24"/>
              </w:rPr>
            </w:pPr>
            <w:r>
              <w:rPr>
                <w:rStyle w:val="Strong"/>
                <w:b w:val="false"/>
                <w:sz w:val="24"/>
                <w:szCs w:val="24"/>
              </w:rPr>
              <w:t>Гидроэлектростанция</w:t>
            </w:r>
          </w:p>
        </w:tc>
      </w:tr>
      <w:tr>
        <w:trPr>
          <w:trHeight w:val="207" w:hRule="atLeast"/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709" w:hanging="0"/>
              <w:jc w:val="center"/>
              <w:rPr>
                <w:rStyle w:val="Strong"/>
                <w:b w:val="false"/>
                <w:sz w:val="24"/>
                <w:szCs w:val="24"/>
              </w:rPr>
            </w:pPr>
            <w:r>
              <w:rPr>
                <w:rStyle w:val="Strong"/>
                <w:b w:val="false"/>
                <w:sz w:val="24"/>
                <w:szCs w:val="24"/>
              </w:rPr>
              <w:t>ГАЭС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709" w:hanging="0"/>
              <w:rPr>
                <w:rStyle w:val="Strong"/>
                <w:b w:val="false"/>
                <w:sz w:val="24"/>
                <w:szCs w:val="24"/>
              </w:rPr>
            </w:pPr>
            <w:r>
              <w:rPr>
                <w:rStyle w:val="Strong"/>
                <w:b w:val="false"/>
                <w:sz w:val="24"/>
                <w:szCs w:val="24"/>
              </w:rPr>
              <w:t>Гидроаккумулирующая Электростанция</w:t>
            </w:r>
          </w:p>
        </w:tc>
      </w:tr>
      <w:tr>
        <w:trPr>
          <w:trHeight w:val="172" w:hRule="atLeast"/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ind w:left="709" w:hanging="0"/>
              <w:jc w:val="center"/>
              <w:rPr>
                <w:rStyle w:val="Strong"/>
                <w:b w:val="false"/>
                <w:sz w:val="24"/>
                <w:szCs w:val="24"/>
              </w:rPr>
            </w:pPr>
            <w:r>
              <w:rPr>
                <w:rStyle w:val="Strong"/>
                <w:b w:val="false"/>
                <w:sz w:val="24"/>
                <w:szCs w:val="24"/>
              </w:rPr>
              <w:t>МГЭС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ind w:left="709" w:hanging="0"/>
              <w:jc w:val="both"/>
              <w:rPr>
                <w:rStyle w:val="Strong"/>
                <w:b w:val="false"/>
                <w:sz w:val="24"/>
                <w:szCs w:val="24"/>
              </w:rPr>
            </w:pPr>
            <w:r>
              <w:rPr>
                <w:rStyle w:val="Strong"/>
                <w:b w:val="false"/>
                <w:sz w:val="24"/>
                <w:szCs w:val="24"/>
              </w:rPr>
              <w:t>Малая Гидроэлектростанция</w:t>
            </w:r>
          </w:p>
        </w:tc>
      </w:tr>
      <w:tr>
        <w:trPr>
          <w:trHeight w:val="207" w:hRule="atLeast"/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ind w:left="709" w:hanging="0"/>
              <w:jc w:val="center"/>
              <w:rPr>
                <w:rStyle w:val="Strong"/>
                <w:b w:val="false"/>
                <w:sz w:val="24"/>
                <w:szCs w:val="24"/>
              </w:rPr>
            </w:pPr>
            <w:r>
              <w:rPr>
                <w:rStyle w:val="Strong"/>
                <w:b w:val="false"/>
                <w:sz w:val="24"/>
                <w:szCs w:val="24"/>
              </w:rPr>
              <w:t>ГОСТ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ind w:left="709" w:hanging="0"/>
              <w:jc w:val="both"/>
              <w:rPr>
                <w:rStyle w:val="Strong"/>
                <w:b w:val="false"/>
                <w:sz w:val="24"/>
                <w:szCs w:val="24"/>
              </w:rPr>
            </w:pPr>
            <w:r>
              <w:rPr>
                <w:rStyle w:val="Strong"/>
                <w:b w:val="false"/>
                <w:sz w:val="24"/>
                <w:szCs w:val="24"/>
              </w:rPr>
              <w:t>Система сертификации продукции в Российской Федерации</w:t>
            </w:r>
          </w:p>
        </w:tc>
      </w:tr>
      <w:tr>
        <w:trPr>
          <w:trHeight w:val="163" w:hRule="atLeast"/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ind w:left="709" w:hanging="0"/>
              <w:jc w:val="center"/>
              <w:rPr>
                <w:rStyle w:val="Style8"/>
                <w:b w:val="false"/>
                <w:bCs/>
                <w:i w:val="false"/>
                <w:i w:val="false"/>
                <w:iCs/>
                <w:sz w:val="24"/>
                <w:szCs w:val="24"/>
              </w:rPr>
            </w:pPr>
            <w:r>
              <w:rPr>
                <w:sz w:val="24"/>
                <w:szCs w:val="24"/>
                <w:lang w:eastAsia="x-none"/>
              </w:rPr>
              <w:t>ТУ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709" w:hanging="0"/>
              <w:rPr>
                <w:rStyle w:val="Strong"/>
                <w:b w:val="false"/>
                <w:sz w:val="24"/>
                <w:szCs w:val="24"/>
              </w:rPr>
            </w:pPr>
            <w:r>
              <w:rPr>
                <w:rStyle w:val="Strong"/>
                <w:b w:val="false"/>
                <w:sz w:val="24"/>
                <w:szCs w:val="24"/>
              </w:rPr>
              <w:t>Технические условия</w:t>
            </w:r>
          </w:p>
        </w:tc>
      </w:tr>
      <w:tr>
        <w:trPr>
          <w:trHeight w:val="154" w:hRule="atLeast"/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ind w:left="709" w:hanging="0"/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КПД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ind w:left="709"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Коэффициент полезного действия</w:t>
            </w:r>
          </w:p>
        </w:tc>
      </w:tr>
    </w:tbl>
    <w:p>
      <w:pPr>
        <w:pStyle w:val="Normal"/>
        <w:keepNext w:val="true"/>
        <w:keepLines/>
        <w:ind w:left="709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ind w:left="709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ind w:left="709" w:hanging="0"/>
        <w:rPr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Heading4"/>
        <w:numPr>
          <w:ilvl w:val="1"/>
          <w:numId w:val="3"/>
        </w:numPr>
        <w:tabs>
          <w:tab w:val="left" w:pos="0" w:leader="none"/>
          <w:tab w:val="left" w:pos="1418" w:leader="none"/>
        </w:tabs>
        <w:spacing w:lineRule="auto" w:line="276" w:before="0" w:after="0"/>
        <w:ind w:left="0" w:firstLine="709"/>
        <w:rPr>
          <w:lang w:val="ru-RU"/>
        </w:rPr>
      </w:pPr>
      <w:bookmarkStart w:id="8" w:name="_Toc230178294"/>
      <w:bookmarkStart w:id="9" w:name="_Toc46743506"/>
      <w:r>
        <w:rPr/>
        <w:t>Наименование закупаемой продукции</w:t>
      </w:r>
      <w:bookmarkEnd w:id="9"/>
      <w:r>
        <w:rPr>
          <w:lang w:val="ru-RU"/>
        </w:rPr>
        <w:t>:</w:t>
      </w:r>
      <w:bookmarkEnd w:id="8"/>
    </w:p>
    <w:p>
      <w:pPr>
        <w:pStyle w:val="Heading1"/>
        <w:spacing w:before="0" w:after="0"/>
        <w:ind w:left="567" w:hanging="0"/>
        <w:jc w:val="both"/>
        <w:rPr>
          <w:rFonts w:eastAsia="Calibri"/>
          <w:b w:val="false"/>
          <w:bCs w:val="false"/>
          <w:sz w:val="24"/>
          <w:szCs w:val="24"/>
          <w:lang w:eastAsia="x-none"/>
        </w:rPr>
      </w:pPr>
      <w:bookmarkStart w:id="10" w:name="_Toc230178291_Копия_1"/>
      <w:bookmarkStart w:id="11" w:name="_Toc141696709_Копия_1"/>
      <w:bookmarkStart w:id="12" w:name="_Toc137554589_Копия_1"/>
      <w:bookmarkStart w:id="13" w:name="_Toc139856292_Копия_1"/>
      <w:r>
        <w:rPr>
          <w:rFonts w:eastAsia="Calibri"/>
          <w:b w:val="false"/>
          <w:bCs w:val="false"/>
          <w:sz w:val="24"/>
          <w:szCs w:val="24"/>
          <w:lang w:eastAsia="x-none"/>
        </w:rPr>
        <w:t>«</w:t>
      </w:r>
      <w:bookmarkEnd w:id="11"/>
      <w:bookmarkEnd w:id="12"/>
      <w:bookmarkEnd w:id="13"/>
      <w:r>
        <w:rPr>
          <w:rFonts w:eastAsia="Calibri"/>
          <w:b w:val="false"/>
          <w:bCs w:val="false"/>
          <w:sz w:val="24"/>
          <w:szCs w:val="24"/>
          <w:lang w:eastAsia="x-none"/>
        </w:rPr>
        <w:t>ОКПД2 22.19.40 Поставка конвейерной ленты для нужд Филиала ПАО «РусГидро» - «Карачаево-Черкесский филиал».</w:t>
      </w:r>
      <w:bookmarkEnd w:id="10"/>
    </w:p>
    <w:p>
      <w:pPr>
        <w:pStyle w:val="Heading4"/>
        <w:numPr>
          <w:ilvl w:val="1"/>
          <w:numId w:val="3"/>
        </w:numPr>
        <w:tabs>
          <w:tab w:val="left" w:pos="0" w:leader="none"/>
          <w:tab w:val="left" w:pos="1418" w:leader="none"/>
        </w:tabs>
        <w:spacing w:lineRule="auto" w:line="276" w:before="0" w:after="0"/>
        <w:ind w:left="0" w:firstLine="709"/>
        <w:rPr/>
      </w:pPr>
      <w:bookmarkStart w:id="14" w:name="_Toc230178295"/>
      <w:bookmarkStart w:id="15" w:name="_Toc46743507"/>
      <w:r>
        <w:rPr/>
        <w:t xml:space="preserve">Цель </w:t>
      </w:r>
      <w:bookmarkEnd w:id="15"/>
      <w:r>
        <w:rPr>
          <w:lang w:val="ru-RU"/>
        </w:rPr>
        <w:t>использования закупаемой продукции:</w:t>
      </w:r>
      <w:bookmarkEnd w:id="14"/>
    </w:p>
    <w:p>
      <w:pPr>
        <w:pStyle w:val="NoSpacing"/>
        <w:spacing w:lineRule="auto" w:line="276"/>
        <w:ind w:firstLine="709"/>
        <w:jc w:val="both"/>
        <w:rPr/>
      </w:pPr>
      <w:r>
        <w:rPr/>
        <w:t>Организация защитных укрытий силовых трансформаторов</w:t>
      </w:r>
      <w:r>
        <w:rPr>
          <w:bCs/>
          <w:lang w:eastAsia="x-none"/>
        </w:rPr>
        <w:t xml:space="preserve"> Филиала ПАО «РусГидро» - «Карачаево-Черкесский филиал»</w:t>
      </w:r>
      <w:r>
        <w:rPr/>
        <w:t>.</w:t>
      </w:r>
    </w:p>
    <w:p>
      <w:pPr>
        <w:pStyle w:val="Heading4"/>
        <w:numPr>
          <w:ilvl w:val="1"/>
          <w:numId w:val="3"/>
        </w:numPr>
        <w:tabs>
          <w:tab w:val="left" w:pos="0" w:leader="none"/>
          <w:tab w:val="left" w:pos="1418" w:leader="none"/>
        </w:tabs>
        <w:spacing w:lineRule="auto" w:line="276" w:before="0" w:after="0"/>
        <w:ind w:left="0" w:firstLine="709"/>
        <w:rPr>
          <w:rStyle w:val="Style8"/>
          <w:b/>
          <w:lang w:val="ru-RU"/>
        </w:rPr>
      </w:pPr>
      <w:bookmarkStart w:id="16" w:name="_Toc230178296"/>
      <w:bookmarkStart w:id="17" w:name="_Toc46743508"/>
      <w:r>
        <w:rPr/>
        <w:t>Существующее положение</w:t>
      </w:r>
      <w:bookmarkEnd w:id="16"/>
      <w:bookmarkEnd w:id="17"/>
      <w:r>
        <w:rPr>
          <w:lang w:val="ru-RU"/>
        </w:rPr>
        <w:t xml:space="preserve"> </w:t>
      </w:r>
    </w:p>
    <w:p>
      <w:pPr>
        <w:pStyle w:val="BodyText"/>
        <w:tabs>
          <w:tab w:val="clear" w:pos="708"/>
          <w:tab w:val="left" w:pos="1418" w:leader="none"/>
        </w:tabs>
        <w:spacing w:lineRule="auto" w:line="276" w:before="0" w:after="0"/>
        <w:ind w:firstLine="709"/>
        <w:jc w:val="both"/>
        <w:rPr>
          <w:rFonts w:eastAsia="Calibri"/>
          <w:bCs/>
          <w:sz w:val="24"/>
          <w:szCs w:val="24"/>
          <w:lang w:eastAsia="x-none"/>
        </w:rPr>
      </w:pPr>
      <w:r>
        <w:rPr>
          <w:rFonts w:eastAsia="Calibri"/>
          <w:bCs/>
          <w:sz w:val="24"/>
          <w:szCs w:val="24"/>
          <w:lang w:eastAsia="x-none"/>
        </w:rPr>
        <w:t>Настоящие технические требования (далее – ТТ) предполагают, что Участник готовит и предоставляет информацию согласно требований настоящих ТТ как в текстовой форме, так и в виде заполнения таблиц, указанных в настоящем ТТ. Все включенные в предложение в соответствии с настоящими ТТ таблицы Участника должны иметь электронную версию в формате MS Excel.</w:t>
      </w:r>
    </w:p>
    <w:p>
      <w:pPr>
        <w:pStyle w:val="Heading4"/>
        <w:numPr>
          <w:ilvl w:val="1"/>
          <w:numId w:val="3"/>
        </w:numPr>
        <w:tabs>
          <w:tab w:val="left" w:pos="0" w:leader="none"/>
          <w:tab w:val="left" w:pos="1276" w:leader="none"/>
          <w:tab w:val="left" w:pos="1418" w:leader="none"/>
        </w:tabs>
        <w:spacing w:lineRule="auto" w:line="276" w:before="0" w:after="0"/>
        <w:ind w:left="0" w:firstLine="709"/>
        <w:jc w:val="both"/>
        <w:rPr>
          <w:lang w:val="ru-RU"/>
        </w:rPr>
      </w:pPr>
      <w:bookmarkStart w:id="18" w:name="_Toc230178297"/>
      <w:bookmarkStart w:id="19" w:name="_Toc46743509"/>
      <w:bookmarkStart w:id="20" w:name="_Hlk49857604"/>
      <w:r>
        <w:rPr/>
        <w:t xml:space="preserve">Информация в отношении исполнения договора, </w:t>
      </w:r>
      <w:bookmarkStart w:id="21" w:name="_Hlk46492347"/>
      <w:r>
        <w:rPr/>
        <w:t xml:space="preserve">которая должна быть учтена при подготовке заявки </w:t>
      </w:r>
      <w:bookmarkEnd w:id="21"/>
      <w:r>
        <w:rPr/>
        <w:t xml:space="preserve">(в том числе перечень ресурсов, услуг и документов, предоставляемых </w:t>
      </w:r>
      <w:r>
        <w:rPr>
          <w:lang w:val="ru-RU"/>
        </w:rPr>
        <w:t>заказчиком</w:t>
      </w:r>
      <w:r>
        <w:rPr/>
        <w:t xml:space="preserve"> на этапе исполнения договора)</w:t>
      </w:r>
      <w:bookmarkEnd w:id="19"/>
      <w:bookmarkEnd w:id="20"/>
      <w:r>
        <w:rPr>
          <w:lang w:val="ru-RU"/>
        </w:rPr>
        <w:t>:</w:t>
      </w:r>
      <w:bookmarkEnd w:id="18"/>
    </w:p>
    <w:p>
      <w:pPr>
        <w:pStyle w:val="BodyText"/>
        <w:tabs>
          <w:tab w:val="clear" w:pos="708"/>
          <w:tab w:val="left" w:pos="540" w:leader="none"/>
          <w:tab w:val="left" w:pos="1418" w:leader="none"/>
        </w:tabs>
        <w:suppressAutoHyphens w:val="false"/>
        <w:spacing w:lineRule="auto" w:line="276" w:before="0" w:after="0"/>
        <w:ind w:firstLine="709"/>
        <w:jc w:val="both"/>
        <w:rPr>
          <w:rFonts w:eastAsia="Calibri"/>
          <w:bCs/>
          <w:sz w:val="24"/>
          <w:szCs w:val="24"/>
          <w:lang w:eastAsia="x-none"/>
        </w:rPr>
      </w:pPr>
      <w:r>
        <w:rPr>
          <w:rFonts w:eastAsia="Calibri"/>
          <w:bCs/>
          <w:sz w:val="24"/>
          <w:szCs w:val="24"/>
          <w:lang w:eastAsia="x-none"/>
        </w:rPr>
        <w:t>В своей заявке участник закупочной процедуры обязан указать полную спецификацию предложенной к поставке продукции с указанием полного наименования, марки и модели, а также полную стоимость предлагаемой к поставке продукции, включающую в себя цену предлагаемой продукции, затраты на транспортировку, уплату налогов, таможенных пошлин, сборов и других обязательных платежей, а также срок в течении, которого участник готов осуществить поставку предлагаемой продукции.</w:t>
      </w:r>
    </w:p>
    <w:p>
      <w:pPr>
        <w:pStyle w:val="Heading4"/>
        <w:numPr>
          <w:ilvl w:val="1"/>
          <w:numId w:val="3"/>
        </w:numPr>
        <w:tabs>
          <w:tab w:val="left" w:pos="0" w:leader="none"/>
          <w:tab w:val="left" w:pos="1418" w:leader="none"/>
        </w:tabs>
        <w:spacing w:lineRule="auto" w:line="276" w:before="0" w:after="0"/>
        <w:ind w:left="0" w:firstLine="709"/>
        <w:rPr>
          <w:rStyle w:val="Style8"/>
          <w:b/>
          <w:lang w:val="ru-RU"/>
        </w:rPr>
      </w:pPr>
      <w:bookmarkStart w:id="22" w:name="_Toc230178298"/>
      <w:bookmarkStart w:id="23" w:name="_Toc75446572"/>
      <w:bookmarkStart w:id="24" w:name="_Hlk48209761"/>
      <w:bookmarkEnd w:id="24"/>
      <w:r>
        <w:rPr/>
        <w:t>Иные требования и сведения общего характера</w:t>
      </w:r>
      <w:bookmarkEnd w:id="23"/>
      <w:r>
        <w:rPr>
          <w:lang w:val="ru-RU"/>
        </w:rPr>
        <w:t>:</w:t>
      </w:r>
      <w:bookmarkEnd w:id="22"/>
    </w:p>
    <w:p>
      <w:pPr>
        <w:pStyle w:val="ListParagraph"/>
        <w:numPr>
          <w:ilvl w:val="0"/>
          <w:numId w:val="10"/>
        </w:numPr>
        <w:tabs>
          <w:tab w:val="clear" w:pos="708"/>
          <w:tab w:val="left" w:pos="1418" w:leader="none"/>
        </w:tabs>
        <w:spacing w:lineRule="auto" w:line="276"/>
        <w:ind w:left="0" w:firstLine="709"/>
        <w:jc w:val="both"/>
        <w:rPr>
          <w:lang w:eastAsia="x-none"/>
        </w:rPr>
      </w:pPr>
      <w:r>
        <w:rPr>
          <w:lang w:eastAsia="x-none"/>
        </w:rPr>
        <w:t xml:space="preserve">Продукция должна быть новой и ранее не использованной; </w:t>
      </w:r>
    </w:p>
    <w:p>
      <w:pPr>
        <w:pStyle w:val="ListParagraph"/>
        <w:numPr>
          <w:ilvl w:val="0"/>
          <w:numId w:val="10"/>
        </w:numPr>
        <w:tabs>
          <w:tab w:val="clear" w:pos="708"/>
          <w:tab w:val="left" w:pos="1418" w:leader="none"/>
        </w:tabs>
        <w:spacing w:lineRule="auto" w:line="276"/>
        <w:ind w:left="0" w:firstLine="709"/>
        <w:jc w:val="both"/>
        <w:rPr>
          <w:lang w:eastAsia="x-none"/>
        </w:rPr>
      </w:pPr>
      <w:r>
        <w:rPr>
          <w:lang w:eastAsia="x-none"/>
        </w:rPr>
        <w:t xml:space="preserve">Доставка продукции осуществляется автотранспортом Поставщика, продукция должна быть поставлена в упаковке в соответствии с ГОСТ и ТУ, обеспечивающее сохранность ее во время транспортировки и хранения; </w:t>
      </w:r>
    </w:p>
    <w:p>
      <w:pPr>
        <w:pStyle w:val="ListParagraph"/>
        <w:numPr>
          <w:ilvl w:val="0"/>
          <w:numId w:val="10"/>
        </w:numPr>
        <w:tabs>
          <w:tab w:val="clear" w:pos="708"/>
          <w:tab w:val="left" w:pos="284" w:leader="none"/>
          <w:tab w:val="left" w:pos="1418" w:leader="none"/>
        </w:tabs>
        <w:spacing w:lineRule="auto" w:line="276"/>
        <w:ind w:left="0" w:firstLine="709"/>
        <w:jc w:val="both"/>
        <w:rPr>
          <w:lang w:eastAsia="x-none"/>
        </w:rPr>
      </w:pPr>
      <w:r>
        <w:rPr>
          <w:lang w:eastAsia="x-none"/>
        </w:rPr>
        <w:t>Цена продукции должна быть указана с учетом затрат на транспортировку, страхование, уплату налогов, таможенных пошлин, сборов и других обязательных платежей;</w:t>
      </w:r>
    </w:p>
    <w:p>
      <w:pPr>
        <w:pStyle w:val="ListParagraph"/>
        <w:numPr>
          <w:ilvl w:val="0"/>
          <w:numId w:val="10"/>
        </w:numPr>
        <w:tabs>
          <w:tab w:val="clear" w:pos="708"/>
          <w:tab w:val="left" w:pos="1418" w:leader="none"/>
        </w:tabs>
        <w:spacing w:lineRule="auto" w:line="276"/>
        <w:ind w:left="0" w:firstLine="709"/>
        <w:jc w:val="both"/>
        <w:rPr>
          <w:lang w:eastAsia="x-none"/>
        </w:rPr>
      </w:pPr>
      <w:r>
        <w:rPr>
          <w:lang w:eastAsia="x-none"/>
        </w:rPr>
        <w:t>По результату приемки материала, оборудования на складе Заказчика: оформляется акт входного контроля и передается на склад Заказчика. В случае обнаружении повреждений оборудования оформляется акт дефектации материала, оборудования и отправляется в адрес Подрядчика его силами и за его счет.</w:t>
      </w:r>
    </w:p>
    <w:p>
      <w:pPr>
        <w:pStyle w:val="ListParagraph"/>
        <w:numPr>
          <w:ilvl w:val="0"/>
          <w:numId w:val="10"/>
        </w:numPr>
        <w:tabs>
          <w:tab w:val="clear" w:pos="708"/>
          <w:tab w:val="left" w:pos="1418" w:leader="none"/>
        </w:tabs>
        <w:spacing w:lineRule="auto" w:line="276"/>
        <w:ind w:left="0" w:firstLine="709"/>
        <w:jc w:val="both"/>
        <w:rPr>
          <w:lang w:eastAsia="x-none"/>
        </w:rPr>
      </w:pPr>
      <w:r>
        <w:rPr>
          <w:lang w:eastAsia="x-none"/>
        </w:rPr>
        <w:t>Оплата каждой партии ТМЦ по Договору производится Покупателем в течение 14 (Четырнадцати) календарных дней с даты подписания Товарной накладной ТОРГ-12 на соответствующую партию ТМЦ на основании счета, выставленного Поставщиком.</w:t>
      </w:r>
    </w:p>
    <w:p>
      <w:pPr>
        <w:pStyle w:val="Normal"/>
        <w:tabs>
          <w:tab w:val="clear" w:pos="708"/>
          <w:tab w:val="left" w:pos="1418" w:leader="none"/>
        </w:tabs>
        <w:ind w:firstLine="709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Heading1"/>
        <w:keepLines/>
        <w:numPr>
          <w:ilvl w:val="0"/>
          <w:numId w:val="3"/>
        </w:numPr>
        <w:tabs>
          <w:tab w:val="left" w:pos="0" w:leader="none"/>
          <w:tab w:val="left" w:pos="1418" w:leader="none"/>
        </w:tabs>
        <w:spacing w:before="0" w:after="0"/>
        <w:ind w:left="0" w:firstLine="709"/>
        <w:jc w:val="center"/>
        <w:rPr>
          <w:iCs/>
        </w:rPr>
      </w:pPr>
      <w:bookmarkStart w:id="25" w:name="_Toc230178299"/>
      <w:bookmarkStart w:id="26" w:name="_Toc51339693"/>
      <w:r>
        <w:rPr>
          <w:iCs/>
        </w:rPr>
        <w:t>Требования к продукции</w:t>
      </w:r>
      <w:bookmarkEnd w:id="25"/>
      <w:bookmarkEnd w:id="26"/>
    </w:p>
    <w:p>
      <w:pPr>
        <w:pStyle w:val="Normal"/>
        <w:rPr>
          <w:lang w:val="x-none" w:eastAsia="x-none"/>
        </w:rPr>
      </w:pPr>
      <w:r>
        <w:rPr>
          <w:lang w:val="x-none" w:eastAsia="x-none"/>
        </w:rPr>
      </w:r>
    </w:p>
    <w:p>
      <w:pPr>
        <w:pStyle w:val="Heading4"/>
        <w:numPr>
          <w:ilvl w:val="1"/>
          <w:numId w:val="3"/>
        </w:numPr>
        <w:tabs>
          <w:tab w:val="left" w:pos="0" w:leader="none"/>
          <w:tab w:val="left" w:pos="1418" w:leader="none"/>
        </w:tabs>
        <w:spacing w:before="0" w:after="0"/>
        <w:ind w:left="0" w:firstLine="709"/>
        <w:rPr/>
      </w:pPr>
      <w:bookmarkStart w:id="27" w:name="_Toc230178300"/>
      <w:r>
        <w:rPr/>
        <w:t xml:space="preserve">Требования к объемам и срокам </w:t>
      </w:r>
      <w:r>
        <w:rPr>
          <w:lang w:val="ru-RU"/>
        </w:rPr>
        <w:t>поставки.</w:t>
      </w:r>
      <w:bookmarkEnd w:id="27"/>
    </w:p>
    <w:p>
      <w:pPr>
        <w:pStyle w:val="Heading3"/>
        <w:numPr>
          <w:ilvl w:val="2"/>
          <w:numId w:val="3"/>
        </w:numPr>
        <w:tabs>
          <w:tab w:val="left" w:pos="0" w:leader="none"/>
          <w:tab w:val="left" w:pos="1418" w:leader="none"/>
        </w:tabs>
        <w:spacing w:before="0" w:after="0"/>
        <w:ind w:left="0" w:firstLine="709"/>
        <w:rPr>
          <w:lang w:val="ru-RU"/>
        </w:rPr>
      </w:pPr>
      <w:bookmarkStart w:id="28" w:name="_Toc230178301"/>
      <w:r>
        <w:rPr>
          <w:lang w:val="ru-RU"/>
        </w:rPr>
        <w:t>Перечень и объем закупаемой продукции.</w:t>
      </w:r>
      <w:bookmarkEnd w:id="28"/>
    </w:p>
    <w:p>
      <w:pPr>
        <w:pStyle w:val="ListParagraph"/>
        <w:jc w:val="both"/>
        <w:rPr>
          <w:lang w:eastAsia="x-none"/>
        </w:rPr>
      </w:pPr>
      <w:r>
        <w:rPr>
          <w:lang w:eastAsia="x-none"/>
        </w:rPr>
      </w:r>
    </w:p>
    <w:p>
      <w:pPr>
        <w:pStyle w:val="Heading1"/>
        <w:keepLines/>
        <w:tabs>
          <w:tab w:val="clear" w:pos="0"/>
        </w:tabs>
        <w:spacing w:before="0" w:after="0"/>
        <w:ind w:left="0" w:firstLine="709"/>
        <w:jc w:val="center"/>
        <w:rPr>
          <w:rFonts w:eastAsia="Times New Roman"/>
          <w:sz w:val="24"/>
          <w:szCs w:val="24"/>
          <w:lang w:val="ru-RU"/>
        </w:rPr>
      </w:pPr>
      <w:bookmarkStart w:id="29" w:name="_Toc230178302"/>
      <w:bookmarkStart w:id="30" w:name="_Toc51339695"/>
      <w:r>
        <w:rPr>
          <w:rFonts w:eastAsia="Times New Roman"/>
          <w:sz w:val="24"/>
          <w:szCs w:val="24"/>
          <w:lang w:val="ru-RU"/>
        </w:rPr>
        <w:t xml:space="preserve">Таблица 1 Перечень </w:t>
      </w:r>
      <w:bookmarkEnd w:id="30"/>
      <w:r>
        <w:rPr>
          <w:rFonts w:eastAsia="Times New Roman"/>
          <w:sz w:val="24"/>
          <w:szCs w:val="24"/>
          <w:lang w:val="ru-RU"/>
        </w:rPr>
        <w:t>и объем закупаемой продукции:</w:t>
      </w:r>
      <w:bookmarkEnd w:id="29"/>
    </w:p>
    <w:tbl>
      <w:tblPr>
        <w:tblW w:w="9953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847"/>
        <w:gridCol w:w="6272"/>
        <w:gridCol w:w="1415"/>
        <w:gridCol w:w="1418"/>
      </w:tblGrid>
      <w:tr>
        <w:trPr/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6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/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>
          <w:trHeight w:val="173" w:hRule="atLeast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ind w:left="414" w:hanging="357"/>
              <w:rPr/>
            </w:pPr>
            <w:r>
              <w:rPr/>
            </w:r>
          </w:p>
        </w:tc>
        <w:tc>
          <w:tcPr>
            <w:tcW w:w="6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Лента конвейерная 2.2-1600-4-ТК-200-2-5/2 РБ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пог.м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</w:t>
            </w:r>
          </w:p>
        </w:tc>
      </w:tr>
    </w:tbl>
    <w:p>
      <w:pPr>
        <w:pStyle w:val="Normal"/>
        <w:widowControl w:val="false"/>
        <w:tabs>
          <w:tab w:val="clear" w:pos="708"/>
          <w:tab w:val="left" w:pos="426" w:leader="none"/>
        </w:tabs>
        <w:rPr>
          <w:bCs/>
          <w:i/>
          <w:i/>
          <w:sz w:val="16"/>
          <w:szCs w:val="16"/>
          <w:shd w:fill="FFFF99" w:val="clear"/>
        </w:rPr>
      </w:pPr>
      <w:r>
        <w:rPr>
          <w:bCs/>
          <w:i/>
          <w:sz w:val="16"/>
          <w:szCs w:val="16"/>
          <w:shd w:fill="FFFF99" w:val="clear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rPr>
          <w:bCs/>
          <w:i/>
          <w:i/>
          <w:sz w:val="16"/>
          <w:szCs w:val="16"/>
          <w:shd w:fill="FFFF99" w:val="clear"/>
        </w:rPr>
      </w:pPr>
      <w:r>
        <w:rPr>
          <w:bCs/>
          <w:i/>
          <w:sz w:val="16"/>
          <w:szCs w:val="16"/>
          <w:shd w:fill="FFFF99" w:val="clear"/>
        </w:rPr>
      </w:r>
    </w:p>
    <w:p>
      <w:pPr>
        <w:pStyle w:val="Heading1"/>
        <w:keepLines/>
        <w:tabs>
          <w:tab w:val="clear" w:pos="0"/>
        </w:tabs>
        <w:spacing w:before="0" w:after="0"/>
        <w:ind w:left="709" w:hanging="0"/>
        <w:jc w:val="center"/>
        <w:rPr>
          <w:sz w:val="24"/>
          <w:szCs w:val="24"/>
          <w:lang w:val="ru-RU"/>
        </w:rPr>
      </w:pPr>
      <w:bookmarkStart w:id="31" w:name="_Toc230178303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Перечень и объем закупаемых сопутствующих услуг:</w:t>
      </w:r>
      <w:bookmarkEnd w:id="31"/>
    </w:p>
    <w:tbl>
      <w:tblPr>
        <w:tblW w:w="9953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596"/>
        <w:gridCol w:w="3119"/>
        <w:gridCol w:w="2835"/>
        <w:gridCol w:w="1546"/>
        <w:gridCol w:w="1857"/>
      </w:tblGrid>
      <w:tr>
        <w:trPr/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ind w:left="-83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ind w:left="-83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ind w:left="-10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ind w:left="-10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ind w:left="-100" w:hanging="0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ind w:left="-10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/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100" w:hanging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100" w:hanging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100" w:hanging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100" w:hanging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>
        <w:trPr>
          <w:trHeight w:val="430" w:hRule="atLeast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ind w:left="414" w:hanging="357"/>
              <w:rPr/>
            </w:pPr>
            <w:r>
              <w:rPr/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0" w:hanging="0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--------------------------------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0" w:hanging="0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------------------------------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0" w:hanging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------------------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0" w:hanging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----------------------</w:t>
            </w:r>
          </w:p>
        </w:tc>
      </w:tr>
    </w:tbl>
    <w:p>
      <w:pPr>
        <w:pStyle w:val="Heading3"/>
        <w:tabs>
          <w:tab w:val="clear" w:pos="0"/>
        </w:tabs>
        <w:spacing w:before="0" w:after="0"/>
        <w:ind w:left="709" w:hanging="0"/>
        <w:rPr>
          <w:lang w:val="ru-RU"/>
        </w:rPr>
      </w:pPr>
      <w:r>
        <w:rPr>
          <w:lang w:val="ru-RU"/>
        </w:rPr>
      </w:r>
    </w:p>
    <w:p>
      <w:pPr>
        <w:pStyle w:val="Heading3"/>
        <w:numPr>
          <w:ilvl w:val="2"/>
          <w:numId w:val="3"/>
        </w:numPr>
        <w:spacing w:before="0" w:after="0"/>
        <w:ind w:left="709" w:hanging="504"/>
        <w:rPr>
          <w:lang w:val="ru-RU"/>
        </w:rPr>
      </w:pPr>
      <w:bookmarkStart w:id="32" w:name="_Toc230178304"/>
      <w:r>
        <w:rPr>
          <w:lang w:val="ru-RU"/>
        </w:rPr>
        <w:t>Требования к срокам поставки продукции и оказания сопутствующих услуг</w:t>
      </w:r>
      <w:bookmarkEnd w:id="32"/>
    </w:p>
    <w:p>
      <w:pPr>
        <w:pStyle w:val="Heading1"/>
        <w:keepLines/>
        <w:tabs>
          <w:tab w:val="clear" w:pos="0"/>
        </w:tabs>
        <w:spacing w:before="0" w:after="0"/>
        <w:ind w:left="709" w:hanging="0"/>
        <w:rPr>
          <w:sz w:val="24"/>
          <w:szCs w:val="24"/>
        </w:rPr>
      </w:pPr>
      <w:r>
        <w:rPr>
          <w:sz w:val="24"/>
          <w:szCs w:val="24"/>
        </w:rPr>
      </w:r>
      <w:bookmarkStart w:id="33" w:name="_Toc51339697"/>
      <w:bookmarkStart w:id="34" w:name="_Toc50125127"/>
      <w:bookmarkStart w:id="35" w:name="_Toc50125126"/>
      <w:bookmarkStart w:id="36" w:name="_Toc51339697"/>
      <w:bookmarkStart w:id="37" w:name="_Toc50125127"/>
      <w:bookmarkStart w:id="38" w:name="_Toc50125126"/>
      <w:bookmarkEnd w:id="38"/>
    </w:p>
    <w:p>
      <w:pPr>
        <w:pStyle w:val="Heading1"/>
        <w:keepLines/>
        <w:tabs>
          <w:tab w:val="clear" w:pos="0"/>
        </w:tabs>
        <w:spacing w:before="0" w:after="0"/>
        <w:ind w:left="0" w:hanging="0"/>
        <w:jc w:val="center"/>
        <w:rPr>
          <w:sz w:val="16"/>
          <w:szCs w:val="16"/>
        </w:rPr>
      </w:pPr>
      <w:bookmarkStart w:id="39" w:name="_Toc230178305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 </w:t>
      </w:r>
      <w:bookmarkStart w:id="40" w:name="_Hlk50465284"/>
      <w:r>
        <w:rPr>
          <w:sz w:val="24"/>
          <w:szCs w:val="24"/>
        </w:rPr>
        <w:t xml:space="preserve">Требования по срокам </w:t>
      </w:r>
      <w:bookmarkEnd w:id="36"/>
      <w:bookmarkEnd w:id="37"/>
      <w:bookmarkEnd w:id="40"/>
      <w:r>
        <w:rPr>
          <w:sz w:val="24"/>
          <w:szCs w:val="24"/>
          <w:lang w:val="ru-RU"/>
        </w:rPr>
        <w:t>поставки продукции:</w:t>
      </w:r>
      <w:bookmarkEnd w:id="39"/>
    </w:p>
    <w:tbl>
      <w:tblPr>
        <w:tblW w:w="9923" w:type="dxa"/>
        <w:jc w:val="left"/>
        <w:tblInd w:w="13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132"/>
        <w:gridCol w:w="2976"/>
        <w:gridCol w:w="2553"/>
        <w:gridCol w:w="3261"/>
      </w:tblGrid>
      <w:tr>
        <w:trPr/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>
        <w:trPr/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0" w:after="0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0" w:after="0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ind w:left="57" w:hanging="0"/>
              <w:rPr/>
            </w:pPr>
            <w:r>
              <w:rPr/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Поставка ленты конвейерной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заключения догово</w:t>
            </w:r>
            <w:bookmarkStart w:id="41" w:name="_GoBack"/>
            <w:bookmarkEnd w:id="41"/>
            <w:r>
              <w:rPr>
                <w:sz w:val="24"/>
                <w:szCs w:val="24"/>
              </w:rPr>
              <w:t>ра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позднее 30 календарных дней с даты подписания договора</w:t>
            </w:r>
          </w:p>
        </w:tc>
      </w:tr>
    </w:tbl>
    <w:p>
      <w:pPr>
        <w:pStyle w:val="Normal"/>
        <w:rPr>
          <w:lang w:val="x-none" w:eastAsia="x-none"/>
        </w:rPr>
      </w:pPr>
      <w:r>
        <w:rPr>
          <w:lang w:val="x-none" w:eastAsia="x-none"/>
        </w:rPr>
      </w:r>
      <w:bookmarkStart w:id="42" w:name="_Toc46743510"/>
      <w:bookmarkStart w:id="43" w:name="_Toc46743510"/>
      <w:bookmarkEnd w:id="43"/>
    </w:p>
    <w:p>
      <w:pPr>
        <w:pStyle w:val="Heading1"/>
        <w:tabs>
          <w:tab w:val="clear" w:pos="0"/>
        </w:tabs>
        <w:spacing w:before="0" w:after="0"/>
        <w:ind w:left="709" w:hanging="0"/>
        <w:jc w:val="center"/>
        <w:rPr>
          <w:sz w:val="16"/>
          <w:szCs w:val="16"/>
        </w:rPr>
      </w:pPr>
      <w:bookmarkStart w:id="44" w:name="_Toc230178306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4</w:t>
      </w:r>
      <w:r>
        <w:rPr>
          <w:sz w:val="24"/>
          <w:szCs w:val="24"/>
        </w:rPr>
        <w:t xml:space="preserve"> Требования по срокам </w:t>
      </w:r>
      <w:r>
        <w:rPr>
          <w:sz w:val="24"/>
          <w:szCs w:val="24"/>
          <w:lang w:val="ru-RU"/>
        </w:rPr>
        <w:t xml:space="preserve">оказания </w:t>
      </w:r>
      <w:r>
        <w:rPr>
          <w:sz w:val="24"/>
          <w:szCs w:val="24"/>
        </w:rPr>
        <w:t>сопутствующих услуг</w:t>
      </w:r>
      <w:r>
        <w:rPr>
          <w:sz w:val="24"/>
          <w:szCs w:val="24"/>
          <w:lang w:val="ru-RU"/>
        </w:rPr>
        <w:t>:</w:t>
      </w:r>
      <w:bookmarkEnd w:id="44"/>
    </w:p>
    <w:tbl>
      <w:tblPr>
        <w:tblW w:w="9918" w:type="dxa"/>
        <w:jc w:val="left"/>
        <w:tblInd w:w="13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122"/>
        <w:gridCol w:w="2134"/>
        <w:gridCol w:w="2268"/>
        <w:gridCol w:w="2551"/>
        <w:gridCol w:w="1843"/>
      </w:tblGrid>
      <w:tr>
        <w:trPr/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12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12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8"/>
              <w:keepNext w:val="false"/>
              <w:widowControl w:val="false"/>
              <w:spacing w:before="0" w:after="0"/>
              <w:ind w:left="-12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keepNext w:val="false"/>
              <w:widowControl w:val="false"/>
              <w:spacing w:before="0" w:after="0"/>
              <w:ind w:left="-12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оказания услуг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0" w:after="0"/>
              <w:ind w:left="-12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Примечание</w:t>
            </w:r>
          </w:p>
        </w:tc>
      </w:tr>
      <w:tr>
        <w:trPr/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120" w:hanging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120" w:hanging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0" w:after="0"/>
              <w:ind w:left="-120" w:right="0" w:hanging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8"/>
              <w:keepNext w:val="false"/>
              <w:widowControl w:val="false"/>
              <w:spacing w:before="0" w:after="0"/>
              <w:ind w:left="-120" w:right="0" w:hanging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0" w:after="0"/>
              <w:ind w:left="-120" w:right="0" w:hanging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>
        <w:trPr/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120" w:hanging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1.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120" w:hanging="0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-----------------------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120" w:hanging="0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-------------------------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120" w:hanging="0"/>
              <w:jc w:val="both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----------------------------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120" w:hanging="0"/>
              <w:jc w:val="both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--------------------</w:t>
            </w:r>
          </w:p>
        </w:tc>
      </w:tr>
      <w:tr>
        <w:trPr/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120" w:hanging="0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120" w:hanging="0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120" w:hanging="0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120" w:hanging="0"/>
              <w:jc w:val="both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120" w:hanging="0"/>
              <w:jc w:val="both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</w:tr>
    </w:tbl>
    <w:p>
      <w:pPr>
        <w:pStyle w:val="Heading4"/>
        <w:tabs>
          <w:tab w:val="clear" w:pos="0"/>
        </w:tabs>
        <w:spacing w:before="0" w:after="0"/>
        <w:ind w:left="709" w:hanging="0"/>
        <w:rPr/>
      </w:pPr>
      <w:r>
        <w:rPr/>
      </w:r>
    </w:p>
    <w:p>
      <w:pPr>
        <w:pStyle w:val="Heading4"/>
        <w:numPr>
          <w:ilvl w:val="1"/>
          <w:numId w:val="3"/>
        </w:numPr>
        <w:spacing w:lineRule="auto" w:line="276" w:before="0" w:after="0"/>
        <w:ind w:left="709" w:hanging="0"/>
        <w:rPr/>
      </w:pPr>
      <w:bookmarkStart w:id="45" w:name="_Toc230178307"/>
      <w:r>
        <w:rPr/>
        <w:t xml:space="preserve">Требования к </w:t>
      </w:r>
      <w:r>
        <w:rPr>
          <w:lang w:val="ru-RU"/>
        </w:rPr>
        <w:t>качеству продукции</w:t>
      </w:r>
      <w:bookmarkEnd w:id="45"/>
    </w:p>
    <w:p>
      <w:pPr>
        <w:pStyle w:val="ListParagraph"/>
        <w:numPr>
          <w:ilvl w:val="3"/>
          <w:numId w:val="9"/>
        </w:numPr>
        <w:tabs>
          <w:tab w:val="clear" w:pos="708"/>
          <w:tab w:val="left" w:pos="851" w:leader="none"/>
        </w:tabs>
        <w:spacing w:lineRule="auto" w:line="276"/>
        <w:ind w:left="0" w:firstLine="567"/>
        <w:jc w:val="both"/>
        <w:rPr/>
      </w:pPr>
      <w:r>
        <w:rPr/>
        <w:t>Вся поставляемая продукция должна соответствовать требованиям ГОСТов, ТУ, указанных в настоящих ТТ, и иметь сертификаты соответствия государственных органов (Система сертификации ГОСТ Госстандарт России) и, если это дополнительно указано в настоящих ТТ, сертификаты соответствия, выданные отраслевыми органами сертификации.</w:t>
      </w:r>
    </w:p>
    <w:p>
      <w:pPr>
        <w:pStyle w:val="ListParagraph"/>
        <w:numPr>
          <w:ilvl w:val="3"/>
          <w:numId w:val="9"/>
        </w:numPr>
        <w:tabs>
          <w:tab w:val="clear" w:pos="708"/>
          <w:tab w:val="left" w:pos="851" w:leader="none"/>
        </w:tabs>
        <w:spacing w:lineRule="auto" w:line="276"/>
        <w:ind w:left="0" w:firstLine="567"/>
        <w:jc w:val="both"/>
        <w:rPr/>
      </w:pPr>
      <w:r>
        <w:rPr/>
        <w:t>Продукция должна соответствовать государственным санитарно-эпидемиологическим заключениям.</w:t>
      </w:r>
    </w:p>
    <w:p>
      <w:pPr>
        <w:pStyle w:val="ListParagraph"/>
        <w:numPr>
          <w:ilvl w:val="3"/>
          <w:numId w:val="9"/>
        </w:numPr>
        <w:tabs>
          <w:tab w:val="clear" w:pos="708"/>
          <w:tab w:val="left" w:pos="851" w:leader="none"/>
        </w:tabs>
        <w:spacing w:lineRule="auto" w:line="276"/>
        <w:ind w:left="0" w:firstLine="567"/>
        <w:jc w:val="both"/>
        <w:rPr/>
      </w:pPr>
      <w:r>
        <w:rPr/>
        <w:t>Наличие сертификатов соответствия и санитарно-эпидемиологическое заключение на предоставляемую продукцию обязательно.</w:t>
      </w:r>
    </w:p>
    <w:p>
      <w:pPr>
        <w:pStyle w:val="ListParagraph"/>
        <w:numPr>
          <w:ilvl w:val="3"/>
          <w:numId w:val="9"/>
        </w:numPr>
        <w:tabs>
          <w:tab w:val="clear" w:pos="708"/>
          <w:tab w:val="left" w:pos="851" w:leader="none"/>
        </w:tabs>
        <w:spacing w:lineRule="auto" w:line="276"/>
        <w:ind w:left="0" w:firstLine="567"/>
        <w:jc w:val="both"/>
        <w:rPr/>
      </w:pPr>
      <w:r>
        <w:rPr/>
        <w:t>Продукция без документов не принимается, ответственность за его сохранность Заказчик не несет.</w:t>
      </w:r>
    </w:p>
    <w:p>
      <w:pPr>
        <w:pStyle w:val="ListParagraph"/>
        <w:numPr>
          <w:ilvl w:val="3"/>
          <w:numId w:val="9"/>
        </w:numPr>
        <w:tabs>
          <w:tab w:val="clear" w:pos="708"/>
          <w:tab w:val="left" w:pos="851" w:leader="none"/>
        </w:tabs>
        <w:spacing w:lineRule="auto" w:line="276"/>
        <w:ind w:left="0" w:firstLine="567"/>
        <w:jc w:val="both"/>
        <w:rPr/>
      </w:pPr>
      <w:r>
        <w:rPr/>
        <w:t>Качество поставляемой продукции, его производители должны соответствовать качеству и списку производителей, заявленных Поставщиком в Открытом запросе предложений.</w:t>
      </w:r>
    </w:p>
    <w:p>
      <w:pPr>
        <w:pStyle w:val="ListParagraph"/>
        <w:numPr>
          <w:ilvl w:val="3"/>
          <w:numId w:val="9"/>
        </w:numPr>
        <w:tabs>
          <w:tab w:val="clear" w:pos="708"/>
          <w:tab w:val="left" w:pos="851" w:leader="none"/>
        </w:tabs>
        <w:spacing w:lineRule="auto" w:line="276"/>
        <w:ind w:left="0" w:firstLine="567"/>
        <w:jc w:val="both"/>
        <w:rPr/>
      </w:pPr>
      <w:r>
        <w:rPr/>
        <w:t>Упаковка продукции должна обеспечивать его сохранность при транспортировке и хранении.</w:t>
      </w:r>
    </w:p>
    <w:p>
      <w:pPr>
        <w:pStyle w:val="ListParagraph"/>
        <w:numPr>
          <w:ilvl w:val="3"/>
          <w:numId w:val="9"/>
        </w:numPr>
        <w:tabs>
          <w:tab w:val="clear" w:pos="708"/>
          <w:tab w:val="left" w:pos="851" w:leader="none"/>
        </w:tabs>
        <w:spacing w:lineRule="auto" w:line="276"/>
        <w:ind w:left="0" w:firstLine="567"/>
        <w:jc w:val="both"/>
        <w:rPr/>
      </w:pPr>
      <w:r>
        <w:rPr/>
        <w:t>Срок гарантии поставщика не менее одного года с момента поставки. Указать, что входит в гарантийные обязательства. Срок гарантии производителя не менее одного года.</w:t>
      </w:r>
    </w:p>
    <w:p>
      <w:pPr>
        <w:pStyle w:val="ListParagraph"/>
        <w:numPr>
          <w:ilvl w:val="3"/>
          <w:numId w:val="9"/>
        </w:numPr>
        <w:tabs>
          <w:tab w:val="clear" w:pos="708"/>
          <w:tab w:val="left" w:pos="851" w:leader="none"/>
        </w:tabs>
        <w:spacing w:lineRule="auto" w:line="276"/>
        <w:ind w:left="0" w:firstLine="567"/>
        <w:jc w:val="both"/>
        <w:rPr/>
      </w:pPr>
      <w:r>
        <w:rPr/>
        <w:t>Год выпуска товаров 4 кв. 2025 – 1 кв. 2026 года.</w:t>
      </w:r>
    </w:p>
    <w:p>
      <w:pPr>
        <w:pStyle w:val="Normal"/>
        <w:spacing w:lineRule="auto" w:line="276"/>
        <w:ind w:left="709" w:hanging="0"/>
        <w:rPr/>
      </w:pPr>
      <w:r>
        <w:rPr/>
      </w:r>
    </w:p>
    <w:p>
      <w:pPr>
        <w:pStyle w:val="Heading4"/>
        <w:numPr>
          <w:ilvl w:val="1"/>
          <w:numId w:val="3"/>
        </w:numPr>
        <w:spacing w:lineRule="auto" w:line="276" w:before="0" w:after="0"/>
        <w:ind w:left="709" w:hanging="0"/>
        <w:rPr/>
      </w:pPr>
      <w:bookmarkStart w:id="46" w:name="_Toc230178308"/>
      <w:r>
        <w:rPr/>
        <w:t>Требования к цене продукции</w:t>
      </w:r>
      <w:bookmarkEnd w:id="46"/>
    </w:p>
    <w:p>
      <w:pPr>
        <w:pStyle w:val="ListParagraph"/>
        <w:spacing w:lineRule="auto" w:line="276"/>
        <w:ind w:left="0" w:firstLine="709"/>
        <w:jc w:val="both"/>
        <w:rPr/>
      </w:pPr>
      <w:r>
        <w:rPr/>
        <w:t>Цена предлагаемой Продукции должна быть указана с учетом затрат на транспортировку, страхование, уплату налогов, таможенных пошлин, сборов и других обязательных платежей и соответствовать среднерыночной стоимости продукции по региону.</w:t>
      </w:r>
    </w:p>
    <w:p>
      <w:pPr>
        <w:pStyle w:val="ListParagraph"/>
        <w:spacing w:lineRule="auto" w:line="276"/>
        <w:ind w:left="0" w:firstLine="709"/>
        <w:jc w:val="both"/>
        <w:rPr/>
      </w:pPr>
      <w:r>
        <w:rPr/>
      </w:r>
    </w:p>
    <w:p>
      <w:pPr>
        <w:pStyle w:val="Heading4"/>
        <w:numPr>
          <w:ilvl w:val="1"/>
          <w:numId w:val="3"/>
        </w:numPr>
        <w:spacing w:lineRule="auto" w:line="276" w:before="0" w:after="0"/>
        <w:ind w:left="709" w:hanging="0"/>
        <w:rPr/>
      </w:pPr>
      <w:bookmarkStart w:id="47" w:name="_Toc230178309"/>
      <w:r>
        <w:rPr/>
        <w:t>Требования к доставке продукции</w:t>
      </w:r>
      <w:bookmarkEnd w:id="47"/>
    </w:p>
    <w:p>
      <w:pPr>
        <w:pStyle w:val="ListParagraph"/>
        <w:spacing w:lineRule="auto" w:line="276"/>
        <w:ind w:left="0" w:firstLine="426"/>
        <w:jc w:val="both"/>
        <w:rPr/>
      </w:pPr>
      <w:r>
        <w:rPr/>
        <w:t xml:space="preserve">Доставка Продукции до склада Заказчика в объеме и на сумму, указанную в заявке Заказчика, осуществляется по адресу: 369244, Карачаево-Черкесская Республика, Карачаевский район, пос. Правокубанский, Филиал «ПАО РусГидро» - «Карачаево-Черкесский филиал».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headerReference w:type="default" r:id="rId2"/>
      <w:headerReference w:type="first" r:id="rId3"/>
      <w:type w:val="nextPage"/>
      <w:pgSz w:w="11906" w:h="16838"/>
      <w:pgMar w:left="1134" w:right="851" w:gutter="0" w:header="680" w:top="1134" w:footer="0" w:bottom="992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6</w:t>
    </w:r>
    <w:r>
      <w:rPr/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283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9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1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14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zh-TW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d140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tabs>
        <w:tab w:val="clear" w:pos="708"/>
        <w:tab w:val="left" w:pos="0" w:leader="none"/>
      </w:tabs>
      <w:spacing w:before="120" w:after="60"/>
      <w:ind w:left="1224" w:hanging="504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 w:customStyle="1">
    <w:name w:val="Footnote Characters"/>
    <w:qFormat/>
    <w:rsid w:val="00d561d9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basedOn w:val="DefaultParagraphFont"/>
    <w:uiPriority w:val="99"/>
    <w:unhideWhenUsed/>
    <w:rsid w:val="003b57ab"/>
    <w:rPr>
      <w:color w:val="0563C1" w:themeColor="hyperlink"/>
      <w:u w:val="single"/>
    </w:rPr>
  </w:style>
  <w:style w:type="character" w:styleId="Annotationreference">
    <w:name w:val="annotation reference"/>
    <w:uiPriority w:val="99"/>
    <w:semiHidden/>
    <w:qFormat/>
    <w:rsid w:val="00b714b0"/>
    <w:rPr>
      <w:sz w:val="16"/>
      <w:szCs w:val="16"/>
    </w:rPr>
  </w:style>
  <w:style w:type="character" w:styleId="Strong">
    <w:name w:val="Strong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6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1"/>
    <w:qFormat/>
    <w:locked/>
    <w:rsid w:val="00d22f6d"/>
    <w:rPr>
      <w:sz w:val="28"/>
    </w:rPr>
  </w:style>
  <w:style w:type="character" w:styleId="Style5" w:customStyle="1">
    <w:name w:val="Текст сноски Знак"/>
    <w:uiPriority w:val="99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29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6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basedOn w:val="DefaultParagraphFont"/>
    <w:qFormat/>
    <w:rsid w:val="003879d4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10"/>
    <w:qFormat/>
    <w:rsid w:val="004a17ae"/>
    <w:rPr>
      <w:rFonts w:eastAsia="Calibri"/>
      <w:caps/>
      <w:sz w:val="28"/>
      <w:szCs w:val="28"/>
      <w:lang w:eastAsia="en-US"/>
    </w:rPr>
  </w:style>
  <w:style w:type="character" w:styleId="13" w:customStyle="1">
    <w:name w:val="Неразрешенное упоминание1"/>
    <w:basedOn w:val="DefaultParagraphFont"/>
    <w:uiPriority w:val="99"/>
    <w:semiHidden/>
    <w:unhideWhenUsed/>
    <w:qFormat/>
    <w:rsid w:val="00c36f30"/>
    <w:rPr>
      <w:color w:val="605E5C"/>
      <w:shd w:fill="E1DFDD" w:val="clear"/>
    </w:rPr>
  </w:style>
  <w:style w:type="character" w:styleId="32" w:customStyle="1">
    <w:name w:val="Основной текст с отступом 3 Знак"/>
    <w:link w:val="BodyTextIndent3"/>
    <w:qFormat/>
    <w:rsid w:val="00c36f30"/>
    <w:rPr>
      <w:sz w:val="16"/>
      <w:szCs w:val="16"/>
    </w:rPr>
  </w:style>
  <w:style w:type="character" w:styleId="214pt" w:customStyle="1">
    <w:name w:val="Заголовок №2 + 14 pt"/>
    <w:uiPriority w:val="99"/>
    <w:qFormat/>
    <w:rsid w:val="00fb79a2"/>
    <w:rPr>
      <w:rFonts w:ascii="Times New Roman" w:hAnsi="Times New Roman" w:cs="Times New Roman"/>
      <w:b/>
      <w:bCs/>
      <w:spacing w:val="8"/>
      <w:sz w:val="28"/>
      <w:szCs w:val="28"/>
      <w:u w:val="none"/>
    </w:rPr>
  </w:style>
  <w:style w:type="character" w:styleId="14" w:customStyle="1">
    <w:name w:val="Основной текст Знак1"/>
    <w:uiPriority w:val="99"/>
    <w:qFormat/>
    <w:locked/>
    <w:rsid w:val="00ea50bc"/>
    <w:rPr>
      <w:rFonts w:ascii="Times New Roman" w:hAnsi="Times New Roman" w:cs="Times New Roman"/>
      <w:spacing w:val="4"/>
      <w:sz w:val="25"/>
      <w:szCs w:val="25"/>
      <w:u w:val="none"/>
    </w:rPr>
  </w:style>
  <w:style w:type="character" w:styleId="Style14" w:customStyle="1">
    <w:name w:val="Ссылка указателя"/>
    <w:qFormat/>
    <w:rPr/>
  </w:style>
  <w:style w:type="character" w:styleId="Exact" w:customStyle="1">
    <w:name w:val="Основной текст Exact"/>
    <w:uiPriority w:val="99"/>
    <w:qFormat/>
    <w:rsid w:val="00b266b0"/>
    <w:rPr>
      <w:rFonts w:ascii="Arial" w:hAnsi="Arial" w:cs="Arial"/>
      <w:spacing w:val="12"/>
      <w:sz w:val="33"/>
      <w:szCs w:val="33"/>
      <w:u w:val="none"/>
    </w:rPr>
  </w:style>
  <w:style w:type="character" w:styleId="Exact1" w:customStyle="1">
    <w:name w:val="Основной текст Exact1"/>
    <w:uiPriority w:val="99"/>
    <w:qFormat/>
    <w:rsid w:val="00b266b0"/>
    <w:rPr>
      <w:rFonts w:ascii="Arial" w:hAnsi="Arial" w:cs="Arial"/>
      <w:color w:val="000000"/>
      <w:spacing w:val="12"/>
      <w:w w:val="100"/>
      <w:sz w:val="33"/>
      <w:szCs w:val="33"/>
      <w:u w:val="single"/>
    </w:rPr>
  </w:style>
  <w:style w:type="character" w:styleId="Exact2" w:customStyle="1">
    <w:name w:val="Подпись к картинке Exact"/>
    <w:link w:val="Style34"/>
    <w:uiPriority w:val="99"/>
    <w:qFormat/>
    <w:rsid w:val="00b266b0"/>
    <w:rPr>
      <w:rFonts w:ascii="Arial" w:hAnsi="Arial" w:cs="Arial"/>
      <w:spacing w:val="12"/>
      <w:sz w:val="33"/>
      <w:szCs w:val="33"/>
      <w:shd w:fill="FFFFFF" w:val="clear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" w:customStyle="1">
    <w:name w:val="index heading11"/>
    <w:basedOn w:val="Title"/>
    <w:qFormat/>
    <w:pPr/>
    <w:rPr/>
  </w:style>
  <w:style w:type="paragraph" w:styleId="Caption111" w:customStyle="1">
    <w:name w:val="caption111"/>
    <w:basedOn w:val="Normal"/>
    <w:next w:val="Normal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Indexheading111" w:customStyle="1">
    <w:name w:val="index heading111"/>
    <w:basedOn w:val="Title"/>
    <w:qFormat/>
    <w:pPr/>
    <w:rPr/>
  </w:style>
  <w:style w:type="paragraph" w:styleId="Style17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8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19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uiPriority w:val="99"/>
    <w:rsid w:val="00d561d9"/>
    <w:pPr/>
    <w:rPr>
      <w:sz w:val="20"/>
      <w:szCs w:val="20"/>
    </w:rPr>
  </w:style>
  <w:style w:type="paragraph" w:styleId="15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3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6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0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2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1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421b6b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4d688c"/>
    <w:pPr>
      <w:tabs>
        <w:tab w:val="clear" w:pos="708"/>
        <w:tab w:val="left" w:pos="1120" w:leader="none"/>
        <w:tab w:val="right" w:pos="9911" w:leader="dot"/>
      </w:tabs>
      <w:ind w:left="426" w:hanging="0"/>
    </w:pPr>
    <w:rPr>
      <w:rFonts w:cs="Calibri" w:cstheme="minorHAnsi"/>
      <w:sz w:val="20"/>
      <w:szCs w:val="20"/>
    </w:rPr>
  </w:style>
  <w:style w:type="paragraph" w:styleId="Style22" w:customStyle="1">
    <w:name w:val="Раздел регламента"/>
    <w:basedOn w:val="Normal"/>
    <w:qFormat/>
    <w:rsid w:val="00e228fa"/>
    <w:pPr/>
    <w:rPr/>
  </w:style>
  <w:style w:type="paragraph" w:styleId="Style23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c01756"/>
    <w:pPr>
      <w:spacing w:before="240" w:after="0"/>
    </w:pPr>
    <w:rPr>
      <w:rFonts w:cs="Calibri" w:cstheme="minorHAnsi"/>
      <w:b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7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c01756"/>
    <w:pPr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4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5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5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4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311" w:customStyle="1">
    <w:name w:val="Список 3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eastAsia="Calibri" w:ascii="Times New Roman" w:hAnsi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cs="Arial" w:eastAsia="Times New Roman"/>
      <w:color w:val="auto"/>
      <w:kern w:val="0"/>
      <w:sz w:val="20"/>
      <w:szCs w:val="20"/>
      <w:lang w:val="ru-RU" w:eastAsia="ru-RU" w:bidi="ar-SA"/>
    </w:rPr>
  </w:style>
  <w:style w:type="paragraph" w:styleId="35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6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8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7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8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29" w:customStyle="1">
    <w:name w:val="Подподпункт"/>
    <w:basedOn w:val="Style21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0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6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1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9" w:customStyle="1">
    <w:name w:val="Стиль Заголовок 1 + по ширине"/>
    <w:basedOn w:val="Heading1"/>
    <w:qFormat/>
    <w:rsid w:val="005773b2"/>
    <w:pPr>
      <w:keepLines/>
      <w:tabs>
        <w:tab w:val="clear" w:pos="0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2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10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3" w:customStyle="1">
    <w:name w:val="Содержимое врезки"/>
    <w:basedOn w:val="Normal"/>
    <w:qFormat/>
    <w:pPr/>
    <w:rPr/>
  </w:style>
  <w:style w:type="paragraph" w:styleId="Style34" w:customStyle="1">
    <w:name w:val="Подпись к картинке"/>
    <w:basedOn w:val="Normal"/>
    <w:link w:val="Exact2"/>
    <w:uiPriority w:val="99"/>
    <w:qFormat/>
    <w:rsid w:val="00b266b0"/>
    <w:pPr>
      <w:widowControl w:val="false"/>
      <w:shd w:val="clear" w:color="auto" w:fill="FFFFFF"/>
      <w:suppressAutoHyphens w:val="false"/>
      <w:spacing w:lineRule="atLeast" w:line="240"/>
    </w:pPr>
    <w:rPr>
      <w:rFonts w:ascii="Arial" w:hAnsi="Arial" w:cs="Arial"/>
      <w:spacing w:val="12"/>
      <w:sz w:val="33"/>
      <w:szCs w:val="33"/>
    </w:rPr>
  </w:style>
  <w:style w:type="paragraph" w:styleId="Style35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36" w:customStyle="1">
    <w:name w:val="Заголовок таблицы"/>
    <w:basedOn w:val="Style35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11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8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d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EE8330-31EE-409F-A7B5-CF74AF07A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Application>AlterOffice/3.4.0.9$Linux_X86_64 LibreOffice_project/b8daf9e823b1a5463a2f48435ddc2e8696e7d4fc</Application>
  <AppVersion>15.0000</AppVersion>
  <Pages>6</Pages>
  <Words>879</Words>
  <Characters>5929</Characters>
  <CharactersWithSpaces>6658</CharactersWithSpaces>
  <Paragraphs>130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2024-01-15T11:38:00Z</dcterms:created>
  <dc:creator>Быстров Олег Геннадьевич</dc:creator>
  <dc:description/>
  <dc:language>ru-RU</dc:language>
  <cp:lastModifiedBy>zabelkinans@corp.gidroogk.com</cp:lastModifiedBy>
  <cp:lastPrinted>2026-05-14T07:01:00Z</cp:lastPrinted>
  <dcterms:modified xsi:type="dcterms:W3CDTF">2026-05-20T14:12:33Z</dcterms:modified>
  <cp:revision>40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