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529" w:hanging="0"/>
        <w:rPr>
          <w:rFonts w:eastAsia="Calibri"/>
        </w:rPr>
      </w:pPr>
      <w:r>
        <w:rPr/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eastAsia="Calibri"/>
          <w:b/>
          <w:sz w:val="32"/>
          <w:szCs w:val="32"/>
        </w:rPr>
        <w:t>Технические требования на выполнение работ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Строительно-монтажные работы по установке трех комплектов комплекса подавления ГНСС «МГЛА»</w:t>
      </w:r>
    </w:p>
    <w:p>
      <w:pPr>
        <w:pStyle w:val="Normal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филиала ПАО «РусГидро» - «Нижегородская ГЭС»</w:t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Normal"/>
        <w:suppressAutoHyphens w:val="false"/>
        <w:spacing w:lineRule="auto" w:line="25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Заволжье</w:t>
      </w:r>
    </w:p>
    <w:p>
      <w:pPr>
        <w:pStyle w:val="Normal"/>
        <w:suppressAutoHyphens w:val="false"/>
        <w:spacing w:lineRule="auto" w:line="25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2026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suppressAutoHyphens w:val="false"/>
            <w:spacing w:lineRule="auto" w:line="259"/>
            <w:jc w:val="center"/>
            <w:rPr/>
          </w:pPr>
          <w:r>
            <w:br w:type="page"/>
          </w:r>
          <w:r>
            <w:rPr/>
            <w:t>СОДЕРЖАНИЕ</w:t>
          </w:r>
        </w:p>
        <w:p>
          <w:pPr>
            <w:pStyle w:val="TOC1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80698406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lang w:val="en-US"/>
              </w:rPr>
              <w:t xml:space="preserve"> 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07">
            <w:r>
              <w:rPr>
                <w:webHidden/>
                <w:rStyle w:val="Style12"/>
                <w:vanish w:val="false"/>
                <w:lang w:val="en-US"/>
              </w:rPr>
              <w:t>1.1. Обозначения и сокращения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08">
            <w:r>
              <w:rPr>
                <w:webHidden/>
                <w:rStyle w:val="Style12"/>
                <w:vanish w:val="false"/>
                <w:lang w:val="en-US"/>
              </w:rPr>
              <w:t xml:space="preserve">1.2. Наименование 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09">
            <w:r>
              <w:rPr>
                <w:webHidden/>
                <w:rStyle w:val="Style12"/>
                <w:vanish w:val="false"/>
                <w:lang w:val="en-US"/>
              </w:rPr>
              <w:t>1.3. Цель выполнения работ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0">
            <w:r>
              <w:rPr>
                <w:webHidden/>
                <w:rStyle w:val="Style12"/>
                <w:vanish w:val="false"/>
                <w:lang w:val="en-US"/>
              </w:rPr>
              <w:t>1.4. Существующее положение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1. Перечень объектов заказчик</w:t>
              <w:tab/>
              <w:t>а4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1.5. Информация в отношении исполнения договора, которая должна быть учтена (в том числе перечень ресурсов, услуг и документов, предоставляемых заказчиком на этапе исполнения договора)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1.6. Особые условия работы оборудования и производства работ: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4">
            <w:r>
              <w:rPr>
                <w:webHidden/>
                <w:rStyle w:val="Style12"/>
                <w:vanish w:val="false"/>
                <w:lang w:val="en-US"/>
              </w:rPr>
              <w:t>2. 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2.1. Требования к объемам и срокам выполнения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2.1.1. Требования к видам и объемам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2. Перечень и объем выполняемых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2.1.2. Требования к срокам выполнения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_Toc180698419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3. Требования по срокам выполнения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_Toc180698420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2.2. Требования к качеству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_Toc180698421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4. Требования к качеству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344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806984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_Toc180698422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3. Приложения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suppressAutoHyphens w:val="false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1"/>
        <w:ind w:left="360" w:hanging="360"/>
        <w:jc w:val="center"/>
        <w:rPr/>
      </w:pPr>
      <w:bookmarkStart w:id="0" w:name="_Toc180698406"/>
      <w:r>
        <w:rPr>
          <w:lang w:val="en-US"/>
        </w:rPr>
        <w:t>Общие сведения</w:t>
      </w:r>
      <w:bookmarkEnd w:id="0"/>
    </w:p>
    <w:p>
      <w:pPr>
        <w:pStyle w:val="Heading2"/>
        <w:rPr>
          <w:lang w:val="en-US"/>
        </w:rPr>
      </w:pPr>
      <w:bookmarkStart w:id="1" w:name="_Toc180698407"/>
      <w:r>
        <w:rPr>
          <w:lang w:val="en-US"/>
        </w:rPr>
        <w:t>Обозначения и сокращения</w:t>
      </w:r>
      <w:bookmarkEnd w:id="1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925"/>
        <w:gridCol w:w="7428"/>
      </w:tblGrid>
      <w:tr>
        <w:trPr>
          <w:trHeight w:val="415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Обозначение, сокращение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Расшифровка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БПЛА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Беспилотные летающие аппараты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ВБ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Верхний бьеф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Г</w:t>
            </w:r>
            <w:r>
              <w:rPr>
                <w:bCs/>
                <w:sz w:val="24"/>
                <w:szCs w:val="24"/>
              </w:rPr>
              <w:t>НСС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Глобальные навигационные спутниковые системы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Г</w:t>
            </w:r>
            <w:r>
              <w:rPr>
                <w:bCs/>
                <w:sz w:val="24"/>
                <w:szCs w:val="24"/>
              </w:rPr>
              <w:t>НСС</w:t>
            </w:r>
            <w:r>
              <w:rPr>
                <w:sz w:val="24"/>
                <w:szCs w:val="24"/>
              </w:rPr>
              <w:t xml:space="preserve"> «МГЛА»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подавления радиосигналов ГНСС "Мгла"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КСБ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система безопасности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ПБ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Правобережное примыкание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ППР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  <w:lang w:val="en-US"/>
              </w:rPr>
              <w:t>Проект производства работ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РП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  <w:lang w:val="en-US"/>
              </w:rPr>
              <w:t xml:space="preserve"> радиоподавления </w:t>
            </w:r>
            <w:r>
              <w:rPr>
                <w:sz w:val="24"/>
                <w:szCs w:val="24"/>
              </w:rPr>
              <w:t>ГНСС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РЭБ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радиоэлектронной борьбы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pacing w:before="120" w:after="120"/>
              <w:ind w:left="0" w:hanging="0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Heading2"/>
        <w:rPr>
          <w:lang w:val="en-US"/>
        </w:rPr>
      </w:pPr>
      <w:bookmarkStart w:id="2" w:name="_Toc180698408"/>
      <w:r>
        <w:rPr>
          <w:lang w:val="en-US"/>
        </w:rPr>
        <w:t xml:space="preserve">Наименование </w:t>
      </w:r>
      <w:r>
        <w:rPr/>
        <w:t>закупаемой продукции.</w:t>
      </w:r>
      <w:bookmarkEnd w:id="2"/>
    </w:p>
    <w:p>
      <w:pPr>
        <w:pStyle w:val="Normal"/>
        <w:spacing w:before="120" w:after="120"/>
        <w:ind w:firstLine="709"/>
        <w:jc w:val="both"/>
        <w:rPr/>
      </w:pPr>
      <w:r>
        <w:rPr/>
        <w:t>Работы по монтажу трех комплектов комплекса подавления ГНСС «МГЛА» с доработкой системы существующей системы установленной на крыше здания ГЭС филиала ПАО «РусГидро» - «Нижегородская ГЭС» (далее - Филиал)</w:t>
      </w:r>
    </w:p>
    <w:p>
      <w:pPr>
        <w:pStyle w:val="Heading2"/>
        <w:rPr>
          <w:lang w:val="en-US"/>
        </w:rPr>
      </w:pPr>
      <w:bookmarkStart w:id="3" w:name="_Toc180698409"/>
      <w:r>
        <w:rPr>
          <w:lang w:val="en-US"/>
        </w:rPr>
        <w:t>Цель выполнения работ</w:t>
      </w:r>
      <w:bookmarkEnd w:id="3"/>
    </w:p>
    <w:p>
      <w:pPr>
        <w:pStyle w:val="Normal"/>
        <w:spacing w:before="120" w:after="120"/>
        <w:ind w:firstLine="709"/>
        <w:jc w:val="both"/>
        <w:rPr/>
      </w:pPr>
      <w:r>
        <w:rPr/>
        <w:t>Расширение Комплекса подавления ГНСС «МГЛА», повышение безопасности и антитеррористической защищённости объекта в соответствие требованиям Федерального закона от 21.07.2011 № 256-ФЗ «О безопасности объектов ТЭК» Постановления Правительства Российской Федерации от 3 августа 2024 г. № 1046 «Об утверждении требований обеспечения безопасности и антитеррористической защищённости объектов топливно-энергетического комплекса».</w:t>
      </w:r>
    </w:p>
    <w:p>
      <w:pPr>
        <w:pStyle w:val="Heading2"/>
        <w:rPr>
          <w:lang w:val="en-US"/>
        </w:rPr>
      </w:pPr>
      <w:bookmarkStart w:id="4" w:name="_Toc180698410"/>
      <w:r>
        <w:rPr>
          <w:lang w:val="en-US"/>
        </w:rPr>
        <w:t>Существующее положение</w:t>
      </w:r>
      <w:bookmarkEnd w:id="4"/>
    </w:p>
    <w:p>
      <w:pPr>
        <w:pStyle w:val="Normal"/>
        <w:spacing w:before="120" w:after="120"/>
        <w:ind w:firstLine="709"/>
        <w:jc w:val="both"/>
        <w:rPr/>
      </w:pPr>
      <w:r>
        <w:rPr/>
        <w:t>В соответствии с решением Правительства Нижегородской области на основании распоряжения Министерства имущественных и земельных отношений Нижегородской области от 02.10.2024 № 326-11-852880/24 «О предоставлении в аренду государственного имущества» филиалу предоставлен в аренду комплекс подавления ГНСС «МГЛА», состоящий из 6 (шести) комплектов, установленных на крыше здания Нижегородской ГЭС и покрывающих круг радиусом не менее 8 км (по паспорту).</w:t>
      </w:r>
    </w:p>
    <w:p>
      <w:pPr>
        <w:pStyle w:val="Normal"/>
        <w:suppressAutoHyphens w:val="false"/>
        <w:jc w:val="both"/>
        <w:rPr/>
      </w:pPr>
      <w:r>
        <w:rPr/>
        <w:t>В настоящее время Филиалом закупается три комплекта комплекса подавления ГНСС «МГЛА» Модель: ТУ 27.90.40-005-89713218-2024, которые планируется установить на крыше здания управления АО «ЗЗГТ», крыше здания охраны на средней спец. площадке и на крыше средней башне верхней головы Шлюзов 13-14</w:t>
      </w:r>
      <w:r>
        <w:rPr>
          <w:i/>
          <w:iCs/>
        </w:rPr>
        <w:t xml:space="preserve">. </w:t>
      </w:r>
      <w:r>
        <w:rPr/>
        <w:t>Так же</w:t>
      </w:r>
      <w:r>
        <w:rPr>
          <w:i/>
          <w:iCs/>
        </w:rPr>
        <w:t xml:space="preserve"> </w:t>
      </w:r>
      <w:r>
        <w:rPr/>
        <w:t>необходимо дооснастить существующий комплекс подавления ГНСС «МГЛА» в части прокладки оптоволоконного кабеля и монтажа сетевого оборудования для обеспечения объединения 6 ранее установленных и 3 новых комплектов комплекса подавления ГНСС «МГЛА» в единую систему.</w:t>
      </w:r>
    </w:p>
    <w:p>
      <w:pPr>
        <w:pStyle w:val="ListParagraph"/>
        <w:numPr>
          <w:ilvl w:val="0"/>
          <w:numId w:val="5"/>
        </w:numPr>
        <w:spacing w:lineRule="auto" w:line="276" w:before="60" w:after="60"/>
        <w:contextualSpacing/>
        <w:jc w:val="both"/>
        <w:rPr/>
      </w:pPr>
      <w:r>
        <w:rPr/>
        <w:t>Для выполнения работ исполнителю работ необходимо закупить все необходимые материалы и метизы (шпильки, гайки, шайбы и пр.), а также материал для изготовления обратного фланца для крепления оборудования ГНСС «МГЛА» на крыше здания охраны на средней спец. площадке, поставляемых подрядчиком.</w:t>
      </w:r>
      <w:bookmarkStart w:id="5" w:name="_Toc54646400"/>
    </w:p>
    <w:p>
      <w:pPr>
        <w:pStyle w:val="ListParagraph"/>
        <w:numPr>
          <w:ilvl w:val="0"/>
          <w:numId w:val="5"/>
        </w:numPr>
        <w:spacing w:lineRule="auto" w:line="276" w:before="60" w:after="60"/>
        <w:contextualSpacing/>
        <w:jc w:val="both"/>
        <w:rPr/>
      </w:pPr>
      <w:r>
        <w:rPr/>
        <w:t xml:space="preserve">Работы должны выполняться в соответствии с разработаной ведомостью объёмов работ № 01-01-01 (Приложение №1). </w:t>
      </w:r>
    </w:p>
    <w:p>
      <w:pPr>
        <w:pStyle w:val="Heading3"/>
        <w:numPr>
          <w:ilvl w:val="0"/>
          <w:numId w:val="0"/>
        </w:numPr>
        <w:ind w:left="709" w:hanging="0"/>
        <w:jc w:val="right"/>
        <w:rPr>
          <w:rFonts w:eastAsia="Times New Roman"/>
          <w:b w:val="false"/>
          <w:sz w:val="24"/>
        </w:rPr>
      </w:pPr>
      <w:bookmarkStart w:id="6" w:name="_Toc180698411"/>
      <w:bookmarkStart w:id="7" w:name="_Toc176350409"/>
      <w:r>
        <w:rPr>
          <w:rFonts w:eastAsia="Times New Roman"/>
          <w:b w:val="false"/>
          <w:sz w:val="24"/>
        </w:rPr>
        <w:t xml:space="preserve">Таблица 1. </w:t>
      </w:r>
      <w:bookmarkEnd w:id="5"/>
      <w:r>
        <w:rPr>
          <w:rFonts w:eastAsia="Times New Roman"/>
          <w:b w:val="false"/>
          <w:sz w:val="24"/>
        </w:rPr>
        <w:t xml:space="preserve">Перечень объектов </w:t>
      </w:r>
      <w:bookmarkEnd w:id="6"/>
      <w:bookmarkEnd w:id="7"/>
      <w:r>
        <w:rPr>
          <w:rFonts w:eastAsia="Times New Roman"/>
          <w:b w:val="false"/>
          <w:sz w:val="24"/>
        </w:rPr>
        <w:t>для установки комплектов МГЛА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8"/>
        <w:gridCol w:w="2199"/>
        <w:gridCol w:w="2200"/>
        <w:gridCol w:w="2205"/>
        <w:gridCol w:w="2202"/>
      </w:tblGrid>
      <w:tr>
        <w:trPr>
          <w:tblHeader w:val="true"/>
          <w:trHeight w:val="57" w:hRule="atLeast"/>
          <w:cantSplit w:val="true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Расположение объекта (место производства работ)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основного средства (в отношении которого выполняются работы)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>
          <w:tblHeader w:val="true"/>
          <w:trHeight w:val="57" w:hRule="atLeast"/>
          <w:cantSplit w:val="true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7" w:hRule="atLeast"/>
          <w:cantSplit w:val="true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комплекса подавления радиосигналов ГНСС "Мгла"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«Нижегородская ГЭС» Нижегородская область, Городецкий район, город Заволжье, улица Привокзальная, д. 14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подавления ГНСС «МГЛА»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филиала ПАО «РусГидро» - «Нижегородская ГЭС»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классификатора ПАО «РусГидро» 8170104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ОКОФ 330.26.30.50</w:t>
            </w:r>
          </w:p>
        </w:tc>
        <w:tc>
          <w:tcPr>
            <w:tcW w:w="22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ПАО «РусГидро» - «Нижегородская ГЭС» </w:t>
            </w:r>
          </w:p>
        </w:tc>
      </w:tr>
      <w:tr>
        <w:trPr>
          <w:trHeight w:val="57" w:hRule="atLeast"/>
          <w:cantSplit w:val="true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«Нижегородская ГЭС» Нижегородская область, Чкаловский район, Вершиловская с/администрация, ПК46+00 земляной плотины №1-2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2205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" w:hRule="atLeast"/>
          <w:cantSplit w:val="true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99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ФБУ «Администрация Волжского бассейна внутренних водных путей» Городецкий РГСиС,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здание средней башни верхней головы Шлюзов 13,14</w:t>
            </w:r>
            <w:r>
              <w:rPr>
                <w:sz w:val="24"/>
                <w:szCs w:val="24"/>
              </w:rPr>
              <w:t>.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2205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ФБУ «Администрация Волжского бассейна внутренних водных путей» Городецкий РГСиС.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область, Городецкий район, г. Городец, ул. Кутузова, д. 1</w:t>
            </w:r>
          </w:p>
        </w:tc>
      </w:tr>
      <w:tr>
        <w:trPr>
          <w:trHeight w:val="57" w:hRule="atLeast"/>
          <w:cantSplit w:val="true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99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«ЗЗГТ».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область, Городецкий район, Заволжье, Железнодорожная ул., 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заводоуправления</w:t>
            </w:r>
            <w:r>
              <w:rPr>
                <w:rStyle w:val="FootnoteReference"/>
                <w:sz w:val="24"/>
                <w:szCs w:val="24"/>
              </w:rPr>
              <w:footnoteReference w:id="4"/>
            </w:r>
          </w:p>
        </w:tc>
        <w:tc>
          <w:tcPr>
            <w:tcW w:w="220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«ЗЗГТ».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область, Городецкий район, Заволжье, Железнодорожная ул., 1.</w:t>
            </w:r>
          </w:p>
        </w:tc>
      </w:tr>
    </w:tbl>
    <w:p>
      <w:pPr>
        <w:pStyle w:val="Heading2"/>
        <w:rPr/>
      </w:pPr>
      <w:bookmarkStart w:id="8" w:name="_Toc180698412"/>
      <w:r>
        <w:rPr/>
        <w:t>Информация в отношении исполнения договора, которая должна быть учтена (в том числе перечень ресурсов, услуг и документов, предоставляемых заказчиком на этапе исполнения договора)</w:t>
      </w:r>
      <w:bookmarkEnd w:id="8"/>
    </w:p>
    <w:p>
      <w:pPr>
        <w:pStyle w:val="Normal"/>
        <w:rPr/>
      </w:pPr>
      <w:r>
        <w:rPr/>
        <w:t xml:space="preserve">Заказчик предоставит подрядчику при необходимости и возможности: 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9"/>
          <w:tab w:val="left" w:pos="426" w:leader="none"/>
        </w:tabs>
        <w:suppressAutoHyphens w:val="false"/>
        <w:spacing w:before="0" w:after="120"/>
        <w:contextualSpacing/>
        <w:jc w:val="both"/>
        <w:rPr>
          <w:iCs/>
        </w:rPr>
      </w:pPr>
      <w:r>
        <w:rPr>
          <w:iCs/>
        </w:rPr>
        <w:t>Следующие виды ресурсов: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9"/>
          <w:tab w:val="left" w:pos="426" w:leader="none"/>
        </w:tabs>
        <w:suppressAutoHyphens w:val="false"/>
        <w:spacing w:before="0" w:after="120"/>
        <w:contextualSpacing/>
        <w:jc w:val="both"/>
        <w:rPr>
          <w:iCs/>
        </w:rPr>
      </w:pPr>
      <w:r>
        <w:rPr>
          <w:iCs/>
        </w:rPr>
        <w:t>Электроэнергия;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0" w:after="120"/>
        <w:contextualSpacing/>
        <w:rPr>
          <w:iCs/>
        </w:rPr>
      </w:pPr>
      <w:r>
        <w:rPr>
          <w:iCs/>
        </w:rPr>
        <w:t>Подрядчик обеспечивает: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9"/>
          <w:tab w:val="left" w:pos="426" w:leader="none"/>
        </w:tabs>
        <w:suppressAutoHyphens w:val="false"/>
        <w:spacing w:before="0" w:after="120"/>
        <w:contextualSpacing/>
        <w:jc w:val="both"/>
        <w:rPr>
          <w:iCs/>
        </w:rPr>
      </w:pPr>
      <w:r>
        <w:rPr>
          <w:iCs/>
        </w:rPr>
        <w:t>Проведение за счёт своих ресурсов: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9"/>
          <w:tab w:val="left" w:pos="426" w:leader="none"/>
        </w:tabs>
        <w:suppressAutoHyphens w:val="false"/>
        <w:spacing w:before="0" w:after="120"/>
        <w:contextualSpacing/>
        <w:jc w:val="both"/>
        <w:rPr>
          <w:iCs/>
        </w:rPr>
      </w:pPr>
      <w:r>
        <w:rPr>
          <w:iCs/>
        </w:rPr>
        <w:t>Разгрузочно-погрузочных работ;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9"/>
          <w:tab w:val="left" w:pos="426" w:leader="none"/>
        </w:tabs>
        <w:suppressAutoHyphens w:val="false"/>
        <w:spacing w:before="0" w:after="120"/>
        <w:contextualSpacing/>
        <w:jc w:val="both"/>
        <w:rPr>
          <w:iCs/>
        </w:rPr>
      </w:pPr>
      <w:r>
        <w:rPr>
          <w:iCs/>
        </w:rPr>
        <w:t>Строительно-монтажных работ;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9"/>
          <w:tab w:val="left" w:pos="426" w:leader="none"/>
        </w:tabs>
        <w:suppressAutoHyphens w:val="false"/>
        <w:spacing w:before="0" w:after="120"/>
        <w:contextualSpacing/>
        <w:jc w:val="both"/>
        <w:rPr>
          <w:iCs/>
        </w:rPr>
      </w:pPr>
      <w:r>
        <w:rPr>
          <w:iCs/>
        </w:rPr>
        <w:t>Уборку мест производства работ;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9"/>
          <w:tab w:val="left" w:pos="426" w:leader="none"/>
        </w:tabs>
        <w:suppressAutoHyphens w:val="false"/>
        <w:spacing w:before="0" w:after="120"/>
        <w:contextualSpacing/>
        <w:jc w:val="both"/>
        <w:rPr>
          <w:iCs/>
        </w:rPr>
      </w:pPr>
      <w:r>
        <w:rPr>
          <w:iCs/>
        </w:rPr>
        <w:t>Восстановление нарушенного благоустройства.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9"/>
          <w:tab w:val="left" w:pos="426" w:leader="none"/>
        </w:tabs>
        <w:suppressAutoHyphens w:val="false"/>
        <w:spacing w:before="0" w:after="120"/>
        <w:contextualSpacing/>
        <w:jc w:val="both"/>
        <w:rPr>
          <w:iCs/>
        </w:rPr>
      </w:pPr>
      <w:r>
        <w:rPr>
          <w:iCs/>
        </w:rPr>
        <w:t>Инструмент</w:t>
      </w:r>
      <w:r>
        <w:rPr>
          <w:iCs/>
          <w:lang w:val="en-US"/>
        </w:rPr>
        <w:t xml:space="preserve"> и </w:t>
      </w:r>
      <w:r>
        <w:rPr>
          <w:iCs/>
        </w:rPr>
        <w:t>оборудование</w:t>
      </w:r>
      <w:r>
        <w:rPr>
          <w:iCs/>
          <w:lang w:val="en-US"/>
        </w:rPr>
        <w:t>.</w:t>
      </w:r>
    </w:p>
    <w:p>
      <w:pPr>
        <w:pStyle w:val="Normal"/>
        <w:ind w:firstLine="709"/>
        <w:jc w:val="both"/>
        <w:rPr/>
      </w:pPr>
      <w:r>
        <w:rPr/>
        <w:t>Готовые помещения для размещения персонала, складирования оборудования, а также контейнеры (площадки) для временного накопления отходов у Заказчика отсутствуют.</w:t>
      </w:r>
    </w:p>
    <w:p>
      <w:pPr>
        <w:pStyle w:val="Heading2"/>
        <w:rPr/>
      </w:pPr>
      <w:bookmarkStart w:id="9" w:name="_Toc180698413"/>
      <w:r>
        <w:rPr/>
        <w:t>Особые условия работы оборудования и производства работ:</w:t>
      </w:r>
      <w:bookmarkEnd w:id="9"/>
    </w:p>
    <w:p>
      <w:pPr>
        <w:pStyle w:val="Normal"/>
        <w:ind w:firstLine="709"/>
        <w:rPr/>
      </w:pPr>
      <w:r>
        <w:rPr/>
        <w:t>Производство работ на действующем предприятии в соответствии с действующими Правилами по охране труда и нормативной документацией Общества.</w:t>
      </w:r>
    </w:p>
    <w:p>
      <w:pPr>
        <w:pStyle w:val="Normal"/>
        <w:ind w:firstLine="709"/>
        <w:rPr/>
      </w:pPr>
      <w:r>
        <w:rPr/>
        <w:t>Монтажные и строительные работы проводятся: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120" w:after="120"/>
        <w:ind w:left="720" w:right="-2" w:firstLine="709"/>
        <w:contextualSpacing/>
        <w:jc w:val="both"/>
        <w:rPr/>
      </w:pPr>
      <w:r>
        <w:rPr/>
        <w:t>в существующих зданиях и сооружениях в стеснённых условиях: с наличием в зоне производства работ действующего технологического оборудования, загромождающих предметов;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120" w:after="120"/>
        <w:ind w:left="720" w:right="-2" w:firstLine="709"/>
        <w:contextualSpacing/>
        <w:jc w:val="both"/>
        <w:rPr/>
      </w:pPr>
      <w:r>
        <w:rPr/>
        <w:t>на открытых и полуоткрытых производственных площадках в стеснённых условиях: с наличием в зоне производства работ действующего технологического оборудования;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120" w:after="120"/>
        <w:ind w:left="720" w:right="-2" w:firstLine="709"/>
        <w:contextualSpacing/>
        <w:jc w:val="both"/>
        <w:rPr/>
      </w:pPr>
      <w:r>
        <w:rPr/>
        <w:t>вблизи объектов, находящихся под высоким напряжением, в том числе в охранной зоне действующей воздушной линии электропередачи.</w:t>
      </w:r>
    </w:p>
    <w:p>
      <w:pPr>
        <w:pStyle w:val="Normal"/>
        <w:ind w:firstLine="709"/>
        <w:rPr/>
      </w:pPr>
      <w:r>
        <w:rPr/>
        <w:t>Подключение, отключение оборудования и инженерных систем для производства работ производится персоналом Подрядчика, после проведения организационных мероприятий представителями Заказчика.</w:t>
      </w:r>
    </w:p>
    <w:p>
      <w:pPr>
        <w:pStyle w:val="Normal"/>
        <w:suppressAutoHyphens w:val="false"/>
        <w:spacing w:lineRule="auto" w:line="259" w:before="0" w:after="160"/>
        <w:rPr/>
      </w:pPr>
      <w:r>
        <w:rPr/>
      </w:r>
      <w:r>
        <w:br w:type="page"/>
      </w:r>
    </w:p>
    <w:p>
      <w:pPr>
        <w:pStyle w:val="Heading1"/>
        <w:ind w:left="0" w:hanging="0"/>
        <w:jc w:val="center"/>
        <w:rPr>
          <w:lang w:val="en-US"/>
        </w:rPr>
      </w:pPr>
      <w:bookmarkStart w:id="10" w:name="_Toc180698414"/>
      <w:r>
        <w:rPr>
          <w:lang w:val="en-US"/>
        </w:rPr>
        <w:t>Требования к продукции</w:t>
      </w:r>
      <w:bookmarkEnd w:id="10"/>
    </w:p>
    <w:p>
      <w:pPr>
        <w:pStyle w:val="Heading2"/>
        <w:rPr/>
      </w:pPr>
      <w:bookmarkStart w:id="11" w:name="_Toc180698415"/>
      <w:r>
        <w:rPr/>
        <w:t>Требования к объемам и срокам выполнения работ</w:t>
      </w:r>
      <w:bookmarkEnd w:id="11"/>
    </w:p>
    <w:p>
      <w:pPr>
        <w:pStyle w:val="Heading3"/>
        <w:rPr/>
      </w:pPr>
      <w:bookmarkStart w:id="12" w:name="_Toc180698416"/>
      <w:r>
        <w:rPr/>
        <w:t>Требования к видам и объемам работ</w:t>
      </w:r>
      <w:bookmarkEnd w:id="12"/>
    </w:p>
    <w:p>
      <w:pPr>
        <w:pStyle w:val="Heading3"/>
        <w:numPr>
          <w:ilvl w:val="0"/>
          <w:numId w:val="0"/>
        </w:numPr>
        <w:ind w:left="709" w:hanging="0"/>
        <w:jc w:val="right"/>
        <w:rPr>
          <w:rFonts w:eastAsia="Times New Roman"/>
          <w:b w:val="false"/>
          <w:sz w:val="24"/>
        </w:rPr>
      </w:pPr>
      <w:bookmarkStart w:id="13" w:name="_Toc180698417"/>
      <w:r>
        <w:rPr>
          <w:rFonts w:eastAsia="Times New Roman"/>
          <w:b w:val="false"/>
          <w:sz w:val="24"/>
        </w:rPr>
        <w:t>Таблица 2. Перечень и объем выполняемых работ</w:t>
      </w:r>
      <w:bookmarkEnd w:id="13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8"/>
        <w:gridCol w:w="6002"/>
        <w:gridCol w:w="1199"/>
        <w:gridCol w:w="1594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Ед. </w:t>
            </w:r>
            <w:r>
              <w:rPr>
                <w:b/>
                <w:sz w:val="24"/>
                <w:szCs w:val="24"/>
                <w:lang w:val="en-US"/>
              </w:rPr>
              <w:t>изм.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Кол-во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106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по СМР для расширения Комплекса подавления ГНСС «МГЛА». Филиала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 №1 к ТТ – Ведомость объема работ</w:t>
            </w:r>
          </w:p>
        </w:tc>
      </w:tr>
    </w:tbl>
    <w:p>
      <w:pPr>
        <w:pStyle w:val="Heading3"/>
        <w:rPr/>
      </w:pPr>
      <w:bookmarkStart w:id="14" w:name="_Toc180698418"/>
      <w:r>
        <w:rPr/>
        <w:t>Требования к срокам выполнения работ</w:t>
      </w:r>
      <w:bookmarkEnd w:id="14"/>
    </w:p>
    <w:p>
      <w:pPr>
        <w:pStyle w:val="Heading3"/>
        <w:numPr>
          <w:ilvl w:val="0"/>
          <w:numId w:val="0"/>
        </w:numPr>
        <w:ind w:left="709" w:hanging="0"/>
        <w:jc w:val="right"/>
        <w:rPr>
          <w:rFonts w:eastAsia="Times New Roman"/>
          <w:b w:val="false"/>
          <w:sz w:val="24"/>
        </w:rPr>
      </w:pPr>
      <w:bookmarkStart w:id="15" w:name="_Toc180698419"/>
      <w:r>
        <w:rPr>
          <w:rFonts w:eastAsia="Times New Roman"/>
          <w:b w:val="false"/>
          <w:sz w:val="24"/>
        </w:rPr>
        <w:t>Таблица 3. Требования по срокам выполнения работ</w:t>
      </w:r>
      <w:bookmarkEnd w:id="15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962"/>
        <w:gridCol w:w="2846"/>
        <w:gridCol w:w="298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6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cs="Calibri"/>
                <w:bCs/>
                <w:sz w:val="24"/>
                <w:szCs w:val="24"/>
              </w:rPr>
              <w:t>Работы СМР для расширения Комплекса подавления ГНСС «МГЛА» Филиала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Heading2"/>
        <w:rPr/>
      </w:pPr>
      <w:bookmarkStart w:id="16" w:name="_Toc180698420"/>
      <w:r>
        <w:rPr/>
        <w:t>Требования к качеству работ</w:t>
      </w:r>
      <w:bookmarkEnd w:id="16"/>
    </w:p>
    <w:p>
      <w:pPr>
        <w:pStyle w:val="Heading3"/>
        <w:numPr>
          <w:ilvl w:val="0"/>
          <w:numId w:val="0"/>
        </w:numPr>
        <w:ind w:left="709" w:hanging="0"/>
        <w:jc w:val="right"/>
        <w:rPr>
          <w:rFonts w:eastAsia="Times New Roman"/>
          <w:b w:val="false"/>
          <w:sz w:val="24"/>
        </w:rPr>
      </w:pPr>
      <w:bookmarkStart w:id="17" w:name="_Toc180698421"/>
      <w:r>
        <w:rPr>
          <w:rFonts w:eastAsia="Times New Roman"/>
          <w:b w:val="false"/>
          <w:sz w:val="24"/>
        </w:rPr>
        <w:t>Таблица 4. Требования к качеству работ</w:t>
      </w:r>
      <w:bookmarkEnd w:id="17"/>
    </w:p>
    <w:tbl>
      <w:tblPr>
        <w:tblStyle w:val="aff4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3"/>
        <w:gridCol w:w="3179"/>
        <w:gridCol w:w="5352"/>
      </w:tblGrid>
      <w:tr>
        <w:trPr>
          <w:tblHeader w:val="true"/>
          <w:trHeight w:val="377" w:hRule="atLeast"/>
          <w:cantSplit w:val="true"/>
        </w:trPr>
        <w:tc>
          <w:tcPr>
            <w:tcW w:w="82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1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53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</w:tr>
      <w:tr>
        <w:trPr>
          <w:tblHeader w:val="true"/>
          <w:trHeight w:val="437" w:hRule="atLeast"/>
          <w:cantSplit w:val="true"/>
        </w:trPr>
        <w:tc>
          <w:tcPr>
            <w:tcW w:w="82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blHeader w:val="true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5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Требования к выполнению работ 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выполнению работ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Работы выполняются в соответствии с настоящими ТТ.</w:t>
            </w:r>
          </w:p>
        </w:tc>
      </w:tr>
      <w:tr>
        <w:trPr>
          <w:trHeight w:val="1222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Работы выполняются в строгом соответствии с требованиями: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Приказа Федеральной службы по экологическому, технологическому и атомному надзору «Об утверждении и введении в действие требований к составу и порядку ведения исполнительной документации» от 26 декабря 2006 г. N 1128;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 по охране труда при работе на высоте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(утверждены приказом Минтруда и социальной защиты РФ от 16.11.2020 года N 782н);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 по охране труда при строительстве, реконструкции и ремонте (утверждены приказом Минтруда России от 11.12.2020 года N 883н);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 по охране труда при погрузочно-разгрузочных работах и размещении грузов (утверждены приказом Минтруда и социальной защиты РФ от 28.10.2020 года N 753н);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 по охране труда при выполнении электросварочных и газосварочных работ (утверждены приказом Минтруда и социальной защиты РФ от 11.12.2020 года N 884н);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 противопожарного режима в Российской Федерации (утверждены постановлением Правительства РФ от 16.09.2020 года N1479)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Все строительные работы на действующем объекте с СНиП 12-03-2001 "Безопасность труда в строительстве. Часть 1. Общие требования", а также СНиП 12-04-2002 "Безопасность труда в строительстве. Часть 2. Строительное производство";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 по охране труда при работе с инструментом и приспособлениями (утверждены приказом Минтруда и соцзащиты РФ от 27 ноября 2020 года N 835н);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Монтажные и пусконаладочные работы с РД 78.145-93 МВД России "Системы и комплексы охранной, пожарной и охранно-пожарной сигнализации. Правила производства и приёмки работ".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Правила по охране труда при эксплуатации электроустановок (утверждены приказом Минтруда и социальной защиты РФ 15.12.2020 №903н)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организации работ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Допуск персонала на объекты Нижегородской ГЭС осуществляется в соответствии с «Положением о пропускном и внутриобъектовом режимах филиала ПАО «РусГидро»-«Нижегородская ГЭС» утверждённым приказом от 05.05.2023 № НЖГЭС/92-260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Допуск персонала на объекты сторонних организаций где будут производиться работы осуществляется в соответствии с ЛНА о пропускном и внутриобъектовом режимах этих организаций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Допуск персонала подрядчика для выполнения работ, на объектах должен осуществляться в соответствии с «Методикой допуска персонала подрядных организаций к выполнению работ на объектах Общества» с обязательным оформлением необходимых нарядов-допусков либо акта-допуска. (Приложение №2 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к настоящим Техническим требованиям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).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Подготовку рабочих мест и допуск к выполнению работ выполняет персонал заказчика.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Допуск персонала подрядчика для выполнения работ, на объектах в сторонних организациях должен осуществляться в соответствии с ЛНА этих организаций.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Допуск к выполнению работ повышенной опасности должен производиться в соответствии с "Правилами по охране труда при эксплуатации электроустановок"(утверждёнными приказом Минтруда и социальной защиты РФ от 15.12.2020 года N 903н).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Подрядчик проводит разработку, согласование и утверждение с Заказчиком: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графика последовательности выполнения работ;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проекта производства работ (далее-ППР);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программы пусконаладочных работ.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Согласование с производственно-технической службой мест подключения временных коммуникаций (технические условия на подключения выдаются после получения от Подрядчика официального запроса с указанием потребных ресурсов в количественных и качественных показателях).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Инженерную подготовку и оборудование рабочей площадки, монтаж ограждений, переходов, лестниц и т.д. осуществляет Подрядчик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Складировать оборудование и запасные части необходимо в место, согласованное с Заказчиком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Запасные части и материалы необходимые для выполнения работ,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за исключением материалов для изготовления 3 (трёх) опор, 3 (трёх) консольных кронштейнов и креплений для оборудования ГНСС «МГЛА», поставляемых подрядчиком, приобретены Заказчиком согласно ведомости объёма работ № 01-01-01, являющейся приложением к настоящим ТТ (Приложение №1).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9"/>
                <w:tab w:val="left" w:pos="1182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Все поставляемое оборудование, применяемые запасные части и материалы должны быть новыми и не использованными ранее и иметь сопроводительные документы: сертификаты качества, паспорта.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Изменения в номенклатуре, марках, поставляемых материалов и запчастей допускается при условии письменного согласования с заказчиком и последующим заключением дополнительного соглашения к договору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контролю качества работ и материалов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Подрядчик до начала СМР предоставляет Заказчику в полном объёме паспорта и инструкции по эксплуатации устанавливаемого оборудования, сертификаты качества на применяемые материалы и изделия на русском языке.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Входной контроль поступающих материалов должен включать проверку: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наличия соответствующих сертификатов, паспортов;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наличия и надлежащего заполнения документа о качестве и соответствии приведённых в нем данных - характеристикам, установленным в нормативном документе, регламентирующем технические требования к данной продукции;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наличия маркировки, сохранности упаковки, наличия и сохранности защитных и окрасочных покрытий и т.п.;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правильности складирования и хранения;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комплектность поставляемых материалов.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персоналу подрядчика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Наличие персонала, с соответствующими удостоверениями, подтверждающими группу электробезопасности, имеющего право быть при работах по наряду-допуску и распоряжению ответственными лицами за безопасное ведение работ в электроустановках, зданиях и сооружениях: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выдающим наряд - не менее 1 человека (5 группа электробезопасности;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ответственным руководителем работ - не менее 1 человека (4-5 группа электробезопасности);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производителями работ - не менее 2 человек (в том числе указанных выше) (3-4 группа электробезопасности);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членами бригады – не менее 5 человек (3 группа электробезопасности).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 соответствии с распоряжением Филиала № НЖГЭС/92-206р от 29.10.2021 Генеральному подрядчику не допускается привлечение физических лиц в качестве субисполнителей подрядных организаций, оформленных по договору гражданско-правового характера.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безопасности работ и охране труда</w:t>
            </w:r>
          </w:p>
        </w:tc>
      </w:tr>
      <w:tr>
        <w:trPr>
          <w:trHeight w:val="611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При проведении работ Подрядчик должен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деятельности.</w:t>
            </w:r>
          </w:p>
        </w:tc>
      </w:tr>
      <w:tr>
        <w:trPr>
          <w:trHeight w:val="611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</w:t>
            </w:r>
          </w:p>
        </w:tc>
      </w:tr>
      <w:tr>
        <w:trPr>
          <w:trHeight w:val="611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Все работы выполняются с соблюдением нарядно-допускной системы в соответствии с правилами по охране труда при эксплуатации электроустановок и других НПА, отмеченных в разделе 1.1.2 настоящих ТТ.</w:t>
            </w:r>
          </w:p>
        </w:tc>
      </w:tr>
      <w:tr>
        <w:trPr>
          <w:trHeight w:val="611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Соблюдение персоналом правил ТБ при выполнении работ, как на работающем оборудовании, так и в зоне действующего оборудования в соответствии с нормами и правилами, действующими в отрасли и на предприятии.</w:t>
            </w:r>
          </w:p>
        </w:tc>
      </w:tr>
      <w:tr>
        <w:trPr>
          <w:trHeight w:val="611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Перед началом выполнения строительно-монтажных работ должны быть проверены наличие и исправность необходимых защитных средств, инструмента и предохранительных приспособлений.</w:t>
            </w:r>
          </w:p>
        </w:tc>
      </w:tr>
      <w:tr>
        <w:trPr>
          <w:trHeight w:val="1275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Особое внимание требуется обратить на прокладку и подключение кабелей и проводов, находящихся в зоне уже действующих кабелей и устройств. Все работы по прокладке инженерных коммуникаций необходимо выполнять при снятом напряжении и с помощью квалифицированного штата специалистов, руководствуясь документом: Правилами по охране труда при эксплуатации электроустановок. (утверждёнными приказом Минтруда и социальной защиты РФ 15.12.2020 №903н.</w:t>
            </w:r>
          </w:p>
        </w:tc>
      </w:tr>
      <w:tr>
        <w:trPr>
          <w:trHeight w:val="983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При выполнении монтажных и пусконаладочных работ необходимо строго выполнять требования безопасности, изложенные в эксплуатационной документации на измерительные приборы и оборудование, применяемые при выполнении работ, а также в инструкциях и других нормативно-технических документах, действующих на предприятиях Исполнителя и Заказчика.</w:t>
            </w:r>
          </w:p>
        </w:tc>
      </w:tr>
      <w:tr>
        <w:trPr>
          <w:trHeight w:val="955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Монтажные и ремонтные работы в электрических сетях и устройствах (или вблизи них), а также работы по присоединению и отсоединению проводов должны производиться только при снятом напряжении.</w:t>
            </w:r>
          </w:p>
        </w:tc>
      </w:tr>
      <w:tr>
        <w:trPr>
          <w:trHeight w:val="407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Руководитель работ на объекте должен обеспечить производство работ повышенной опасности строго в соответствии с требованиями НПА по охране труда, указанными в 1.1.2.</w:t>
            </w:r>
          </w:p>
        </w:tc>
      </w:tr>
      <w:tr>
        <w:trPr>
          <w:trHeight w:val="894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Ответственность за нарушения правил внутреннего распорядка и требований техники безопасности персоналом подрядной организации и технологию выполнения работ несёт руководство подрядной организации.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результатам работ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результатам работ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 окончании выполнения всех работ, предусмотренных проектом, провести комплексное испытание всей системы по заранее разработанной и утверждённой Заказчиком программе (приложение №2), принять объект строительства ввести его в опытную, а затем и в промышленную эксплуатацию.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>
              <w:rPr>
                <w:rStyle w:val="Style11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</w:tr>
      <w:tr>
        <w:trPr/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Монтаж передающего моноблока ГНСС "Мгла"</w:t>
            </w:r>
            <w:r>
              <w:rPr>
                <w:rStyle w:val="FootnoteReference"/>
                <w:i/>
                <w:kern w:val="0"/>
                <w:sz w:val="24"/>
                <w:szCs w:val="24"/>
                <w:lang w:val="ru-RU" w:bidi="ar-SA"/>
              </w:rPr>
              <w:footnoteReference w:id="5"/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 на крыше Здания заводоуправления АО «ЗЗГТ»</w:t>
            </w:r>
            <w:r>
              <w:rPr>
                <w:rStyle w:val="FootnoteReference"/>
                <w:i/>
                <w:kern w:val="0"/>
                <w:sz w:val="24"/>
                <w:szCs w:val="24"/>
                <w:lang w:val="ru-RU" w:bidi="ar-SA"/>
              </w:rPr>
              <w:footnoteReference w:id="6"/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На кровле Здания заводоуправления, на брус опоры слухового окна, в направлении, сориентированном в сторону Филиала, установить</w:t>
            </w:r>
            <w:r>
              <w:rPr>
                <w:kern w:val="0"/>
                <w:lang w:val="ru-RU" w:bidi="ar-SA"/>
              </w:rPr>
              <w:t xml:space="preserve"> М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оноблок, для этого: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Собрать и смонтировать в чердачном помещении</w:t>
            </w:r>
            <w:r>
              <w:rPr>
                <w:rStyle w:val="FootnoteReference"/>
                <w:i/>
                <w:kern w:val="0"/>
                <w:sz w:val="24"/>
                <w:szCs w:val="24"/>
                <w:lang w:val="ru-RU" w:bidi="ar-SA"/>
              </w:rPr>
              <w:footnoteReference w:id="7"/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 Здания заводоуправления шкаф управления ГНСС "Мгла"</w:t>
            </w:r>
            <w:r>
              <w:rPr>
                <w:rStyle w:val="FootnoteReference"/>
                <w:i/>
                <w:kern w:val="0"/>
                <w:sz w:val="24"/>
                <w:szCs w:val="24"/>
                <w:lang w:val="ru-RU" w:bidi="ar-SA"/>
              </w:rPr>
              <w:footnoteReference w:id="8"/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Смонтировать Моноблок: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просверлить в брусе опоры смотрового окна два отверстия Ø=18 мм;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закрепить устройство на шпильки 0,5м М16 с помощью гаек и усиленных шайб М16;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Подключить электропитание к Шкафу управления от распределительного шкафа на Чердаке;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Подключить Шкаф управления к телекоммуникационному оборудованию оператора связи в Узле связи проложив </w:t>
            </w:r>
            <w:r>
              <w:rPr>
                <w:i/>
                <w:kern w:val="0"/>
                <w:sz w:val="24"/>
                <w:szCs w:val="24"/>
                <w:lang w:val="en-US" w:bidi="ar-SA"/>
              </w:rPr>
              <w:t>Ethernet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-кабель </w:t>
            </w:r>
            <w:r>
              <w:rPr>
                <w:i/>
                <w:kern w:val="0"/>
                <w:sz w:val="24"/>
                <w:szCs w:val="24"/>
                <w:lang w:val="en-US" w:bidi="ar-SA"/>
              </w:rPr>
              <w:t>CAT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5/</w:t>
            </w:r>
            <w:r>
              <w:rPr>
                <w:i/>
                <w:kern w:val="0"/>
                <w:sz w:val="24"/>
                <w:szCs w:val="24"/>
                <w:lang w:val="en-US" w:bidi="ar-SA"/>
              </w:rPr>
              <w:t>CAT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-5</w:t>
            </w:r>
            <w:r>
              <w:rPr>
                <w:i/>
                <w:kern w:val="0"/>
                <w:sz w:val="24"/>
                <w:szCs w:val="24"/>
                <w:lang w:val="en-US" w:bidi="ar-SA"/>
              </w:rPr>
              <w:t>e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 из Узла связи до места установки Шкафа Управления на Чердаке.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Подключить Моноблок к Шкафу управления, проложив силовые кабели и кабели управления от шкафа до устройства;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Смонтировать и подключить оповещатель свето-звуковой МАЯК-24-КП 24 В, 105 дБ на 24 В.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Монтаж Моноблока на крыше здания охраны на средней спец. площадке</w:t>
            </w:r>
            <w:r>
              <w:rPr>
                <w:rStyle w:val="FootnoteReference"/>
                <w:i/>
                <w:kern w:val="0"/>
                <w:sz w:val="24"/>
                <w:szCs w:val="24"/>
                <w:lang w:val="ru-RU" w:bidi="ar-SA"/>
              </w:rPr>
              <w:footnoteReference w:id="9"/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На кровле Здания охраны, на опору ОГКф-3.0, в направлении, сориентированном в сторону Филиала, установить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Моноблок, для этого: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Смонтировать оборудование для работы и управления ГНСС "Мгла" в телекоммуникационный шкаф системы охранного телевидения Филиала</w:t>
            </w:r>
            <w:r>
              <w:rPr>
                <w:rStyle w:val="FootnoteReference"/>
                <w:i/>
                <w:kern w:val="0"/>
                <w:sz w:val="24"/>
                <w:szCs w:val="24"/>
                <w:lang w:val="ru-RU" w:bidi="ar-SA"/>
              </w:rPr>
              <w:footnoteReference w:id="10"/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, установленный в Здании охраны;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На кровле Здания охраны установить опору ОГКф-3.0: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просверлить в кровле:</w:t>
            </w:r>
          </w:p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четыре отверстия Ø=14 мм под шпильки для крепления опоры;</w:t>
            </w:r>
          </w:p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одно отверстие Ø=22 мм для прокладки трубы гофрированной с силовыми и управляющими кабелями устройству внутри опору ОГКф-3.0;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Установить опору закрепив её на шпильки 0,4м М12 с помощью гаек и усиленных шайб М12;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Смонтировать Моноблок на установленную опору: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Подключить силовые кабели и кабели управления от телекоммуникационного шкафа СОТ к Моноблока, пропущенные через предварительно просверленное отверстие в кровле и опору;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Смонтировать и подключить оповещатель свето-звуковой МАЯК-24-КП 24 В, 105 дБ на 24 В.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Монтаж передающего моноблока ГНСС "Мгла" на крыше средней башне верхней головы Шлюзов 13-14</w:t>
            </w:r>
            <w:r>
              <w:rPr>
                <w:rStyle w:val="FootnoteReference"/>
                <w:i/>
                <w:kern w:val="0"/>
                <w:sz w:val="24"/>
                <w:szCs w:val="24"/>
                <w:lang w:val="ru-RU" w:bidi="ar-SA"/>
              </w:rPr>
              <w:footnoteReference w:id="11"/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На опору СОТ камеры видеонаблюдения</w:t>
            </w:r>
            <w:r>
              <w:rPr>
                <w:rStyle w:val="FootnoteReference"/>
                <w:i/>
                <w:kern w:val="0"/>
                <w:sz w:val="24"/>
                <w:szCs w:val="24"/>
                <w:lang w:val="ru-RU" w:bidi="ar-SA"/>
              </w:rPr>
              <w:footnoteReference w:id="12"/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 на кровле Башни установить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Моноблок, в направлении, сориентированном в сторону Филиала, для этого: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Смонтировать на Опору кронштейны крепления Моноблока;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Собрать Шкаф управления;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Смонтировать Моноблок на Опору;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Проложить силовые кабели и кабели управления от Шкафа управления до Моноблока;</w:t>
            </w:r>
          </w:p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Проложить сетевой кабель от телекоммуникационного шкафа СОТ до Шкафа управления на Чердаке Башни;</w:t>
            </w:r>
          </w:p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Смонтировать и подключить оповещатель све</w:t>
            </w:r>
            <w:bookmarkStart w:id="18" w:name="_GoBack"/>
            <w:bookmarkEnd w:id="18"/>
            <w:r>
              <w:rPr>
                <w:i/>
                <w:kern w:val="0"/>
                <w:sz w:val="24"/>
                <w:szCs w:val="24"/>
                <w:lang w:val="ru-RU" w:bidi="ar-SA"/>
              </w:rPr>
              <w:t>то-звуковой МАЯК-24-КП 24 В, 105 дБ на 24 В.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Доработка установленного комплекса ГНСС "Мгла" на крыше здания ГЭС</w:t>
            </w:r>
          </w:p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Проложить оптоволоконный кабель от ШК10 к ШК8</w:t>
            </w:r>
          </w:p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Смонтировать в шкафах ШК10 к ШК8 сетевое оборудование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Требования к надёжности: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выход из строя оборудования ГНСС «МГЛА» не должен приводить к прекращению функционирования КСБ в целом.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импульсные помехи, сбои или прекращение электропитания не должны приводить к выходу из строя оборудования ГНСС «МГЛА».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порядку приёмки результатов работ</w:t>
            </w:r>
            <w:r>
              <w:rPr>
                <w:rStyle w:val="Style11"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Работы считаются выполненными после пуско-наладки и испытаний, сдачи в эксплуатацию Заказчику, подписания акта приёмки и передачи Заказчику исполнительной документации.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оформлению документации</w:t>
            </w:r>
          </w:p>
        </w:tc>
      </w:tr>
      <w:tr>
        <w:trPr>
          <w:trHeight w:val="1194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Подрядчик представляет Заказчику акты выполненных работ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Подрядчик оформляет до начала работ и в процессе выполнения работ,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после окончания пусконаладочных работ и испытания оборудования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представляет Заказчику: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акты на скрытые работы;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исполнительные чертежи;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сертификаты качества и паспорта на применённые материалы и оборудование;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акты входного контроля качества поставляемых материалов и запасных частей, формуляры.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ответственности и гарантиям подрядчика</w:t>
            </w:r>
          </w:p>
        </w:tc>
      </w:tr>
      <w:tr>
        <w:trPr>
          <w:trHeight w:val="685" w:hRule="atLeast"/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Срок гарантии на результат работ –36 месяцев и начинает течь с даты подписания Акта выполненных Работ.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требования к выполняемым работам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Соблюдение правил внутреннего распорядка, действующих на Нижегородской ГЭС (курение в строго определённых местах, указанных распорядительными документами по Нижегородской ГЭС и др.). 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Все работы выполняются с соблюдением нарядно-допускной системы, в соответствии с: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Правилами по охране труда при эксплуатации электроустановок. (утверждёнными приказом Минтруда и социальной защиты РФ 15.12.2020 №903н) по наряду-допуску или распоряжению, выданному инженером Службы СИиТС имеющим право выдавать наряды – допуски или распоряжения;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Правилами по охране труда при строительстве, реконструкции и ремонте (утверждёнными приказом Минтруда России от 11.12.2020 года N 883н) по наряду-допуску или распоряжению, выданному инженером группы ГТСиПЗ имеющим право выдавать наряды – допуски или распоряжения;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Правилами по охране труда при работе на высоте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(утверждёнными приказом Минтруда и социальной защиты РФ от 16.11.2020 года N 782н) по наряду-допуску или распоряжению, выданному работником подрядчика, имеющим право выдавать наряды – допуски или распоряжения, и согласованным с инженером группы ГТСиПЗ.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Производство работ осуществляется в следующих условиях: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в помещениях вблизи действующего технологического оборудования, находящегося под напряжением;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false"/>
              <w:spacing w:before="0" w:after="0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на территории действующего предприятия с наличием в зоне производства работ разветвлённой сети инженерных коммуникаций, в стеснённых условий для складирования материалов.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Подрядчик за 10 рабочих дней предупреждает Заказчика о необходимости выполнения дополнительных Работ.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Непредвиденные работы и затраты оплачиваются за фактически выполненные работы. Объем работ, выполняемый Подрядчиком, должен быть предварительно согласован с Заказчиком и выполняться на основании утверждённых Заказчиком локальных смет, в рамках Лимита на непредвиденные работы и затраты, предусмотренного утверждённым Сводным сметным расчётом.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Работа считается выполненной после подписания Акта выполненных Работ.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Персонал Подрядчика обеспечивает ежедневное поддержание чистоты на рабочих местах, , по окончании Работ, уборку рабочих мест и ликвидацию отходов в соответствии с нормами и правилами, действующими на филиале ПАО «РусГидро» - «Нижегородская ГЭС».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Подрядчик представляет Заказчику по его запросу письменный отчёт о текущем исполнении своих обязательств.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Строительные отходы пятого класса, образовавшиеся в результате производимых работ, Подрядчик доставляет до места утилизации в специализированные места размещения отходов. В ведомости объёмов работ включены работы по погрузке и перевозке отходов. Отходы, передаваемые Заказчику, перемещаются Подрядчиком до места (согласованного/указанного заказчиком), собственными силами Подрядчика. </w:t>
            </w:r>
          </w:p>
        </w:tc>
      </w:tr>
      <w:tr>
        <w:trPr>
          <w:cantSplit w:val="true"/>
        </w:trPr>
        <w:tc>
          <w:tcPr>
            <w:tcW w:w="8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3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ru-RU" w:bidi="ar-SA"/>
              </w:rPr>
              <w:t>Бытовые отходы, образовавшиеся в результате деятельности Подрядчика, Подрядчик должен утилизировать за свой счёт.</w:t>
            </w:r>
          </w:p>
        </w:tc>
      </w:tr>
    </w:tbl>
    <w:p>
      <w:pPr>
        <w:pStyle w:val="Normal"/>
        <w:suppressAutoHyphens w:val="false"/>
        <w:spacing w:lineRule="auto" w:line="259" w:before="0" w:after="160"/>
        <w:rPr/>
      </w:pPr>
      <w:r>
        <w:rPr/>
      </w:r>
      <w:r>
        <w:br w:type="page"/>
      </w:r>
    </w:p>
    <w:p>
      <w:pPr>
        <w:pStyle w:val="Heading1"/>
        <w:ind w:left="0" w:hanging="0"/>
        <w:rPr/>
      </w:pPr>
      <w:bookmarkStart w:id="19" w:name="_Toc180698422"/>
      <w:r>
        <w:rPr/>
        <w:t>Приложения</w:t>
      </w:r>
      <w:bookmarkEnd w:id="19"/>
    </w:p>
    <w:tbl>
      <w:tblPr>
        <w:tblStyle w:val="aff4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7080"/>
      </w:tblGrid>
      <w:tr>
        <w:trPr/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lang w:val="ru-RU" w:bidi="ar-SA"/>
              </w:rPr>
              <w:t>Приложение №1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lang w:val="ru-RU" w:bidi="ar-SA"/>
              </w:rPr>
              <w:t>Ведомость объёмов работ №01-01-01.</w:t>
            </w:r>
          </w:p>
        </w:tc>
      </w:tr>
      <w:tr>
        <w:trPr/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lang w:val="ru-RU" w:bidi="ar-SA"/>
              </w:rPr>
              <w:t>Приложение №2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lang w:val="ru-RU" w:bidi="ar-SA"/>
              </w:rPr>
              <w:t>Методика допуска персонала подрядных организаций к выполнению работ на объектах Общества.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Здание охраны</w:t>
      </w:r>
    </w:p>
  </w:footnote>
  <w:footnote w:id="3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Башня управления</w:t>
      </w:r>
    </w:p>
  </w:footnote>
  <w:footnote w:id="4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Здание заводоуправления</w:t>
      </w:r>
    </w:p>
  </w:footnote>
  <w:footnote w:id="5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Моноблок</w:t>
      </w:r>
    </w:p>
  </w:footnote>
  <w:footnote w:id="6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Здание заводоуправления</w:t>
      </w:r>
    </w:p>
  </w:footnote>
  <w:footnote w:id="7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Чердак</w:t>
      </w:r>
    </w:p>
  </w:footnote>
  <w:footnote w:id="8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Шкаф управления</w:t>
      </w:r>
    </w:p>
  </w:footnote>
  <w:footnote w:id="9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Здание охраны</w:t>
      </w:r>
    </w:p>
  </w:footnote>
  <w:footnote w:id="10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СОТ</w:t>
      </w:r>
    </w:p>
  </w:footnote>
  <w:footnote w:id="11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Башня</w:t>
      </w:r>
    </w:p>
  </w:footnote>
  <w:footnote w:id="12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Далее – Опора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6135757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b/>
      </w:rPr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6104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0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4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58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2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6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70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46" w:hanging="1440"/>
      </w:pPr>
      <w:rPr/>
    </w:lvl>
  </w:abstractNum>
  <w:abstractNum w:abstractNumId="4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i w:val="false"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 w:val="fals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i w:val="false"/>
        <w:b w:val="false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39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15e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zh-CN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f3876"/>
    <w:pPr>
      <w:keepNext w:val="true"/>
      <w:keepLines/>
      <w:numPr>
        <w:ilvl w:val="0"/>
        <w:numId w:val="1"/>
      </w:numPr>
      <w:spacing w:before="240" w:after="240"/>
      <w:ind w:left="0" w:hanging="0"/>
      <w:outlineLvl w:val="0"/>
    </w:pPr>
    <w:rPr>
      <w:rFonts w:eastAsia="" w:cs="" w:cstheme="majorBidi" w:eastAsiaTheme="majorEastAsia"/>
      <w:b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82b80"/>
    <w:pPr>
      <w:keepNext w:val="true"/>
      <w:keepLines/>
      <w:numPr>
        <w:ilvl w:val="1"/>
        <w:numId w:val="1"/>
      </w:numPr>
      <w:spacing w:before="120" w:after="120"/>
      <w:jc w:val="both"/>
      <w:outlineLvl w:val="1"/>
    </w:pPr>
    <w:rPr>
      <w:rFonts w:eastAsia="" w:cs="" w:cstheme="majorBidi" w:eastAsiaTheme="majorEastAsia"/>
      <w:b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582b80"/>
    <w:pPr>
      <w:keepNext w:val="true"/>
      <w:keepLines/>
      <w:numPr>
        <w:ilvl w:val="2"/>
        <w:numId w:val="1"/>
      </w:numPr>
      <w:spacing w:before="120" w:after="120"/>
      <w:outlineLvl w:val="2"/>
    </w:pPr>
    <w:rPr>
      <w:rFonts w:eastAsia="" w:cs="" w:cstheme="majorBidi" w:eastAsiaTheme="majorEastAsia"/>
      <w:b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f33966"/>
    <w:pPr>
      <w:keepNext w:val="true"/>
      <w:keepLines/>
      <w:spacing w:before="40" w:after="0"/>
      <w:jc w:val="right"/>
      <w:outlineLvl w:val="3"/>
    </w:pPr>
    <w:rPr>
      <w:rFonts w:eastAsia="" w:cs="" w:cstheme="majorBidi" w:eastAsiaTheme="majorEastAsia"/>
      <w:i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uiPriority w:val="99"/>
    <w:qFormat/>
    <w:rsid w:val="007515ed"/>
    <w:rPr/>
  </w:style>
  <w:style w:type="character" w:styleId="Style6" w:customStyle="1">
    <w:name w:val="Нижний колонтитул Знак"/>
    <w:basedOn w:val="DefaultParagraphFont"/>
    <w:uiPriority w:val="99"/>
    <w:qFormat/>
    <w:rsid w:val="007515ed"/>
    <w:rPr/>
  </w:style>
  <w:style w:type="character" w:styleId="1" w:customStyle="1">
    <w:name w:val="Заголовок 1 Знак"/>
    <w:basedOn w:val="DefaultParagraphFont"/>
    <w:uiPriority w:val="9"/>
    <w:qFormat/>
    <w:rsid w:val="004f3876"/>
    <w:rPr>
      <w:rFonts w:ascii="Times New Roman" w:hAnsi="Times New Roman" w:eastAsia="" w:cs="" w:cstheme="majorBidi" w:eastAsiaTheme="majorEastAsia"/>
      <w:b/>
      <w:sz w:val="28"/>
      <w:szCs w:val="32"/>
      <w:lang w:eastAsia="zh-CN"/>
    </w:rPr>
  </w:style>
  <w:style w:type="character" w:styleId="2" w:customStyle="1">
    <w:name w:val="Заголовок 2 Знак"/>
    <w:basedOn w:val="DefaultParagraphFont"/>
    <w:uiPriority w:val="9"/>
    <w:qFormat/>
    <w:rsid w:val="00582b80"/>
    <w:rPr>
      <w:rFonts w:ascii="Times New Roman" w:hAnsi="Times New Roman" w:eastAsia="" w:cs="" w:cstheme="majorBidi" w:eastAsiaTheme="majorEastAsia"/>
      <w:b/>
      <w:sz w:val="28"/>
      <w:szCs w:val="26"/>
      <w:lang w:eastAsia="zh-CN"/>
    </w:rPr>
  </w:style>
  <w:style w:type="character" w:styleId="3" w:customStyle="1">
    <w:name w:val="Заголовок 3 Знак"/>
    <w:basedOn w:val="DefaultParagraphFont"/>
    <w:uiPriority w:val="9"/>
    <w:qFormat/>
    <w:rsid w:val="00582b80"/>
    <w:rPr>
      <w:rFonts w:ascii="Times New Roman" w:hAnsi="Times New Roman" w:eastAsia="" w:cs="" w:cstheme="majorBidi" w:eastAsiaTheme="majorEastAsia"/>
      <w:b/>
      <w:sz w:val="28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5f0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ff15f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ff15f0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ff15f0"/>
    <w:rPr>
      <w:rFonts w:ascii="Segoe UI" w:hAnsi="Segoe UI" w:eastAsia="Times New Roman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e93dbb"/>
    <w:rPr>
      <w:color w:val="0563C1" w:themeColor="hyperlink"/>
      <w:u w:val="single"/>
    </w:rPr>
  </w:style>
  <w:style w:type="character" w:styleId="Style10" w:customStyle="1">
    <w:name w:val="Абзац списка Знак"/>
    <w:link w:val="ListParagraph"/>
    <w:uiPriority w:val="34"/>
    <w:qFormat/>
    <w:locked/>
    <w:rsid w:val="00801c27"/>
    <w:rPr>
      <w:rFonts w:ascii="Times New Roman" w:hAnsi="Times New Roman" w:eastAsia="Times New Roman" w:cs="Times New Roman"/>
      <w:sz w:val="28"/>
      <w:szCs w:val="28"/>
      <w:lang w:eastAsia="zh-CN"/>
    </w:rPr>
  </w:style>
  <w:style w:type="character" w:styleId="4" w:customStyle="1">
    <w:name w:val="Заголовок 4 Знак"/>
    <w:basedOn w:val="DefaultParagraphFont"/>
    <w:uiPriority w:val="9"/>
    <w:qFormat/>
    <w:rsid w:val="00f33966"/>
    <w:rPr>
      <w:rFonts w:ascii="Times New Roman" w:hAnsi="Times New Roman" w:eastAsia="" w:cs="" w:cstheme="majorBidi" w:eastAsiaTheme="majorEastAsia"/>
      <w:iCs/>
      <w:sz w:val="24"/>
      <w:szCs w:val="28"/>
      <w:lang w:eastAsia="zh-CN"/>
    </w:rPr>
  </w:style>
  <w:style w:type="character" w:styleId="Style11" w:customStyle="1">
    <w:name w:val="комментарий"/>
    <w:qFormat/>
    <w:rsid w:val="008f0ca6"/>
    <w:rPr>
      <w:b/>
      <w:i/>
      <w:shd w:fill="FFFF99" w:val="clear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Текст сноски Знак"/>
    <w:basedOn w:val="DefaultParagraphFont"/>
    <w:uiPriority w:val="99"/>
    <w:semiHidden/>
    <w:qFormat/>
    <w:rsid w:val="00231526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4" w:customStyle="1">
    <w:name w:val="Символ сноски"/>
    <w:uiPriority w:val="99"/>
    <w:semiHidden/>
    <w:unhideWhenUsed/>
    <w:qFormat/>
    <w:rsid w:val="0023152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7515e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uiPriority w:val="99"/>
    <w:unhideWhenUsed/>
    <w:rsid w:val="007515e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515ed"/>
    <w:pPr>
      <w:numPr>
        <w:ilvl w:val="0"/>
        <w:numId w:val="0"/>
      </w:numPr>
      <w:suppressAutoHyphens w:val="false"/>
      <w:spacing w:lineRule="auto" w:line="259"/>
      <w:ind w:left="0" w:hanging="0"/>
      <w:outlineLvl w:val="9"/>
    </w:pPr>
    <w:rPr>
      <w:lang w:eastAsia="ru-RU"/>
    </w:rPr>
  </w:style>
  <w:style w:type="paragraph" w:styleId="21" w:customStyle="1">
    <w:name w:val="!Ур2"/>
    <w:qFormat/>
    <w:rsid w:val="007515ed"/>
    <w:pPr>
      <w:widowControl/>
      <w:numPr>
        <w:ilvl w:val="0"/>
        <w:numId w:val="2"/>
      </w:numPr>
      <w:tabs>
        <w:tab w:val="clear" w:pos="709"/>
        <w:tab w:val="left" w:pos="851" w:leader="none"/>
        <w:tab w:val="left" w:pos="1134" w:leader="none"/>
        <w:tab w:val="left" w:pos="1418" w:leader="none"/>
      </w:tabs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zh-CN" w:val="ru-RU" w:bidi="ar-SA"/>
    </w:rPr>
  </w:style>
  <w:style w:type="paragraph" w:styleId="ListParagraph">
    <w:name w:val="List Paragraph"/>
    <w:basedOn w:val="Normal"/>
    <w:link w:val="Style10"/>
    <w:uiPriority w:val="34"/>
    <w:qFormat/>
    <w:rsid w:val="00a33e6f"/>
    <w:pPr>
      <w:spacing w:before="0" w:after="0"/>
      <w:ind w:left="720" w:hanging="0"/>
      <w:contextualSpacing/>
    </w:pPr>
    <w:rPr/>
  </w:style>
  <w:style w:type="paragraph" w:styleId="Style19" w:customStyle="1">
    <w:name w:val="Таблица шапка"/>
    <w:basedOn w:val="Normal"/>
    <w:qFormat/>
    <w:rsid w:val="004f3876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ff15f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ff15f0"/>
    <w:pPr/>
    <w:rPr>
      <w:b/>
      <w:bCs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ff15f0"/>
    <w:pPr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93dbb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e93dbb"/>
    <w:pPr>
      <w:spacing w:before="0" w:after="100"/>
      <w:ind w:left="28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e93dbb"/>
    <w:pPr>
      <w:spacing w:before="0" w:after="100"/>
      <w:ind w:left="560" w:hanging="0"/>
    </w:pPr>
    <w:rPr/>
  </w:style>
  <w:style w:type="paragraph" w:styleId="TOC4">
    <w:name w:val="TOC 4"/>
    <w:basedOn w:val="Indexheading111"/>
    <w:pPr/>
    <w:rPr/>
  </w:style>
  <w:style w:type="paragraph" w:styleId="TOC5">
    <w:name w:val="TOC 5"/>
    <w:basedOn w:val="Indexheading111"/>
    <w:pPr/>
    <w:rPr/>
  </w:style>
  <w:style w:type="paragraph" w:styleId="TOC6">
    <w:name w:val="TOC 6"/>
    <w:basedOn w:val="Indexheading111"/>
    <w:pPr/>
    <w:rPr/>
  </w:style>
  <w:style w:type="paragraph" w:styleId="TOC7">
    <w:name w:val="TOC 7"/>
    <w:basedOn w:val="Indexheading111"/>
    <w:pPr/>
    <w:rPr/>
  </w:style>
  <w:style w:type="paragraph" w:styleId="TOC8">
    <w:name w:val="TOC 8"/>
    <w:basedOn w:val="Indexheading111"/>
    <w:pPr/>
    <w:rPr/>
  </w:style>
  <w:style w:type="paragraph" w:styleId="TOC9">
    <w:name w:val="TOC 9"/>
    <w:basedOn w:val="Indexheading111"/>
    <w:pPr/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FootnoteText">
    <w:name w:val="Footnote Text"/>
    <w:basedOn w:val="Normal"/>
    <w:link w:val="Style13"/>
    <w:uiPriority w:val="99"/>
    <w:semiHidden/>
    <w:unhideWhenUsed/>
    <w:rsid w:val="00231526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8f0ca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022E-4D5A-45EF-99C4-BF982F26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AlterOffice/2025.3.1.0$Linux_X86_64 LibreOffice_project/431cd1b79110582f53535c95ed0a2449aadc8bf9</Application>
  <AppVersion>15.0000</AppVersion>
  <Pages>16</Pages>
  <Words>3148</Words>
  <Characters>21521</Characters>
  <CharactersWithSpaces>24270</CharactersWithSpaces>
  <Paragraphs>351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2026-03-20T05:23:00Z</dcterms:created>
  <dc:creator>Кузовков Дмитрий Сергеевич</dc:creator>
  <dc:description/>
  <dc:language>ru-RU</dc:language>
  <cp:lastModifiedBy>bogatovatg@corp.gidroogk.com</cp:lastModifiedBy>
  <dcterms:modified xsi:type="dcterms:W3CDTF">2026-05-20T14:04:55Z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