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bCs/>
          <w:sz w:val="26"/>
          <w:szCs w:val="26"/>
        </w:rPr>
      </w:pPr>
      <w:r>
        <w:rPr/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Амурская область, п. Архара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Амурская область, п. Архара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Благовещенского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6"/>
        <w:gridCol w:w="2142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Амурская обл. п. Архара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Амурская область, п. Архара,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55,0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1"/>
        <w:gridCol w:w="3562"/>
        <w:gridCol w:w="2410"/>
        <w:gridCol w:w="2834"/>
      </w:tblGrid>
      <w:tr>
        <w:trPr/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Амурская область, п. Архара,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 w:val="false"/>
          <w:bCs w:val="false"/>
          <w:i w:val="false"/>
          <w:iCs w:val="false"/>
          <w:sz w:val="24"/>
          <w:szCs w:val="24"/>
        </w:rPr>
        <w:t>ОКПД 2 - 68.20.12 Услуги по аренде нежилого помещения, расположенного по адресу: Амурская область, п. Архара,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55,0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AlterOffice/3.4.0.9$Linux_X86_64 LibreOffice_project/b8daf9e823b1a5463a2f48435ddc2e8696e7d4fc</Application>
  <AppVersion>15.0000</AppVersion>
  <Pages>7</Pages>
  <Words>904</Words>
  <Characters>5916</Characters>
  <CharactersWithSpaces>6628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2026-05-21T13:39:18Z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