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</w:tabs>
        <w:bidi w:val="0"/>
        <w:spacing w:lineRule="atLeast" w:line="0" w:before="0" w:after="0"/>
        <w:ind w:left="0" w:right="0" w:hanging="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8"/>
          <w:szCs w:val="28"/>
          <w:u w:val="none"/>
          <w:em w:val="none"/>
        </w:rPr>
        <w:t>Т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8"/>
          <w:szCs w:val="28"/>
          <w:u w:val="none"/>
          <w:em w:val="none"/>
        </w:rPr>
        <w:t xml:space="preserve">ехнические требования на закупку </w:t>
      </w:r>
    </w:p>
    <w:p>
      <w:pPr>
        <w:pStyle w:val="Normal"/>
        <w:tabs>
          <w:tab w:val="left" w:pos="708" w:leader="none"/>
        </w:tabs>
        <w:bidi w:val="0"/>
        <w:spacing w:lineRule="atLeast" w:line="0" w:before="0" w:after="0"/>
        <w:ind w:left="0" w:right="0" w:hanging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8"/>
          <w:szCs w:val="28"/>
          <w:u w:val="none"/>
          <w:em w:val="none"/>
        </w:rPr>
        <w:t>ОКПД 2 27.12.10.190   Поставка линейных ячеек 10 кВ  в рамках инвестиционного проекта</w:t>
      </w:r>
      <w:r>
        <w:rPr>
          <w:b/>
          <w:bCs/>
          <w:i w:val="false"/>
          <w:strike/>
          <w:outline w:val="false"/>
          <w:shadow w:val="false"/>
          <w:color w:val="auto"/>
          <w:spacing w:val="0"/>
          <w:kern w:val="0"/>
          <w:sz w:val="28"/>
          <w:szCs w:val="28"/>
          <w:u w:val="none"/>
          <w:em w:val="none"/>
        </w:rPr>
        <w:t xml:space="preserve"> (М_27-ХЭС-5115)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8"/>
          <w:szCs w:val="28"/>
          <w:u w:val="none"/>
          <w:em w:val="none"/>
        </w:rPr>
        <w:t xml:space="preserve"> филиала АО «ДРСК» «Хабаровские электрические сети» </w:t>
      </w:r>
    </w:p>
    <w:p>
      <w:pPr>
        <w:pStyle w:val="Normal"/>
        <w:tabs>
          <w:tab w:val="left" w:pos="708" w:leader="none"/>
        </w:tabs>
        <w:bidi w:val="0"/>
        <w:spacing w:lineRule="atLeast" w:line="0" w:before="0" w:after="0"/>
        <w:ind w:left="0" w:right="0" w:hanging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8"/>
          <w:szCs w:val="28"/>
          <w:u w:val="none"/>
          <w:em w:val="none"/>
        </w:rPr>
        <w:t>Лот №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i/>
          <w:i/>
          <w:sz w:val="28"/>
          <w:szCs w:val="28"/>
        </w:rPr>
      </w:pPr>
      <w:r>
        <w:rPr>
          <w:rFonts w:eastAsia="Calibri"/>
          <w:b/>
          <w:bCs/>
          <w:i/>
          <w:sz w:val="28"/>
          <w:szCs w:val="28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r>
        <w:rPr/>
        <w:t>Обозначения и сокращения</w:t>
      </w:r>
    </w:p>
    <w:p>
      <w:pPr>
        <w:pStyle w:val="Heading4"/>
        <w:numPr>
          <w:ilvl w:val="0"/>
          <w:numId w:val="0"/>
        </w:numPr>
        <w:ind w:left="432" w:hanging="0"/>
        <w:rPr/>
      </w:pPr>
      <w:r>
        <w:rPr/>
      </w:r>
    </w:p>
    <w:tbl>
      <w:tblPr>
        <w:tblW w:w="1559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1380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АПВ</w:t>
            </w:r>
          </w:p>
        </w:tc>
        <w:tc>
          <w:tcPr>
            <w:tcW w:w="1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Автоматическое повторное включение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Cs/>
                <w:sz w:val="26"/>
                <w:szCs w:val="26"/>
                <w:lang w:eastAsia="x-none"/>
              </w:rPr>
            </w:pPr>
            <w:r>
              <w:rPr>
                <w:bCs/>
                <w:iCs/>
                <w:sz w:val="26"/>
                <w:szCs w:val="26"/>
                <w:lang w:eastAsia="x-none"/>
              </w:rPr>
              <w:t>СОПТ</w:t>
            </w:r>
          </w:p>
        </w:tc>
        <w:tc>
          <w:tcPr>
            <w:tcW w:w="1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Cs/>
                <w:sz w:val="26"/>
                <w:szCs w:val="26"/>
                <w:lang w:eastAsia="x-none"/>
              </w:rPr>
            </w:pPr>
            <w:r>
              <w:rPr>
                <w:bCs/>
                <w:iCs/>
                <w:sz w:val="26"/>
                <w:szCs w:val="26"/>
                <w:lang w:eastAsia="x-none"/>
              </w:rPr>
              <w:t>Система оперативного постоянного тока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iCs/>
                <w:sz w:val="26"/>
                <w:szCs w:val="26"/>
                <w:lang w:eastAsia="x-none"/>
              </w:rPr>
            </w:pPr>
            <w:r>
              <w:rPr>
                <w:color w:val="000000"/>
                <w:sz w:val="26"/>
                <w:szCs w:val="26"/>
              </w:rPr>
              <w:t>РЗиА (РЗА)</w:t>
            </w:r>
          </w:p>
        </w:tc>
        <w:tc>
          <w:tcPr>
            <w:tcW w:w="1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iCs/>
                <w:sz w:val="26"/>
                <w:szCs w:val="26"/>
                <w:lang w:eastAsia="x-none"/>
              </w:rPr>
            </w:pPr>
            <w:r>
              <w:rPr>
                <w:color w:val="000000"/>
                <w:sz w:val="26"/>
                <w:szCs w:val="26"/>
              </w:rPr>
              <w:t>Релейная защита и автоматика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ИБП</w:t>
            </w:r>
          </w:p>
        </w:tc>
        <w:tc>
          <w:tcPr>
            <w:tcW w:w="1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Источник бесперебойного питания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ТМ</w:t>
            </w:r>
          </w:p>
        </w:tc>
        <w:tc>
          <w:tcPr>
            <w:tcW w:w="1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Телемеханика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ЗИП</w:t>
            </w:r>
          </w:p>
        </w:tc>
        <w:tc>
          <w:tcPr>
            <w:tcW w:w="1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Запчасти, инструменты, принадлежности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4"/>
        <w:numPr>
          <w:ilvl w:val="1"/>
          <w:numId w:val="3"/>
        </w:numPr>
        <w:rPr/>
      </w:pPr>
      <w:bookmarkStart w:id="2" w:name="_Toc75446568"/>
      <w:bookmarkStart w:id="3" w:name="_Toc46743506"/>
      <w:r>
        <w:rPr/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bidi w:val="0"/>
        <w:spacing w:before="0" w:after="160"/>
        <w:jc w:val="left"/>
        <w:rPr/>
      </w:pPr>
      <w:r>
        <w:rPr>
          <w:rFonts w:eastAsia="Calibri" w:cs="Times New Roman" w:eastAsiaTheme="minorHAnsi"/>
          <w:b w:val="false"/>
          <w:bCs w:val="false"/>
          <w:i/>
          <w:iCs w:val="false"/>
          <w:strike/>
          <w:color w:val="00000A"/>
          <w:kern w:val="0"/>
          <w:sz w:val="25"/>
          <w:szCs w:val="25"/>
          <w:lang w:val="ru-RU" w:eastAsia="en-US" w:bidi="ar-SA"/>
        </w:rPr>
        <w:t xml:space="preserve">ОКПД 2: 27.12.10.190  </w:t>
      </w:r>
      <w:r>
        <w:rPr>
          <w:rFonts w:eastAsia="Calibri" w:cs="Times New Roman" w:eastAsiaTheme="minorHAnsi"/>
          <w:b w:val="false"/>
          <w:bCs w:val="false"/>
          <w:i/>
          <w:iCs w:val="false"/>
          <w:color w:val="00000A"/>
          <w:kern w:val="0"/>
          <w:sz w:val="25"/>
          <w:szCs w:val="25"/>
          <w:lang w:val="ru-RU" w:eastAsia="en-US" w:bidi="ar-SA"/>
        </w:rPr>
        <w:t xml:space="preserve"> Поставка линейных ячеек 10 кВ  в рамках </w:t>
      </w:r>
      <w:r>
        <w:rPr>
          <w:rFonts w:eastAsia="Calibri" w:cs="Times New Roman" w:eastAsiaTheme="minorHAnsi"/>
          <w:b w:val="false"/>
          <w:bCs w:val="false"/>
          <w:i/>
          <w:iCs w:val="false"/>
          <w:strike/>
          <w:color w:val="00000A"/>
          <w:kern w:val="0"/>
          <w:sz w:val="25"/>
          <w:szCs w:val="25"/>
          <w:lang w:val="ru-RU" w:eastAsia="en-US" w:bidi="ar-SA"/>
        </w:rPr>
        <w:t>инвестиционного проекта (М_27-ХЭС-5115)</w:t>
      </w:r>
      <w:r>
        <w:rPr>
          <w:rFonts w:eastAsia="Calibri" w:cs="Times New Roman" w:eastAsiaTheme="minorHAnsi"/>
          <w:b w:val="false"/>
          <w:bCs w:val="false"/>
          <w:i/>
          <w:iCs w:val="false"/>
          <w:color w:val="00000A"/>
          <w:kern w:val="0"/>
          <w:sz w:val="25"/>
          <w:szCs w:val="25"/>
          <w:lang w:val="ru-RU" w:eastAsia="en-US" w:bidi="ar-SA"/>
        </w:rPr>
        <w:t xml:space="preserve"> филиала АО «ДРСК» «Хабаровские электрические сети»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>
          <w:iCs/>
          <w:caps/>
          <w:lang w:val="ru-RU"/>
        </w:rPr>
      </w:pPr>
      <w:r>
        <w:rPr>
          <w:iCs/>
          <w:caps/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4" w:name="_Toc51339693"/>
      <w:bookmarkStart w:id="5" w:name="_Toc75446573"/>
      <w:bookmarkStart w:id="6" w:name="_Toc46743510"/>
      <w:bookmarkStart w:id="7" w:name="_Toc50125126"/>
      <w:bookmarkEnd w:id="6"/>
      <w:bookmarkEnd w:id="7"/>
      <w:r>
        <w:rPr>
          <w:iCs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0" w:name="_Toc75446576"/>
      <w:bookmarkStart w:id="1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закупаемой продукции</w:t>
      </w:r>
      <w:bookmarkEnd w:id="10"/>
    </w:p>
    <w:tbl>
      <w:tblPr>
        <w:tblW w:w="156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32"/>
        <w:gridCol w:w="10718"/>
        <w:gridCol w:w="2433"/>
        <w:gridCol w:w="1733"/>
      </w:tblGrid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11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10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Линейная ячейка 10 кВ  согласно приложения №1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12" w:name="_Toc75446578"/>
      <w:bookmarkStart w:id="13" w:name="_Toc51339696"/>
      <w:r>
        <w:rPr>
          <w:lang w:val="ru-RU"/>
        </w:rPr>
        <w:t xml:space="preserve">Требования </w:t>
      </w:r>
      <w:bookmarkEnd w:id="13"/>
      <w:r>
        <w:rPr>
          <w:lang w:val="ru-RU"/>
        </w:rPr>
        <w:t xml:space="preserve">к срокам поставки продукции </w:t>
      </w:r>
      <w:bookmarkEnd w:id="1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4" w:name="_Toc75446579"/>
      <w:bookmarkStart w:id="15" w:name="_Toc51339697"/>
      <w:bookmarkStart w:id="16" w:name="_Toc50125127"/>
      <w:bookmarkStart w:id="17" w:name="_Toc50125126_Копия_1"/>
      <w:bookmarkEnd w:id="1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поставки продукции</w:t>
      </w:r>
      <w:bookmarkEnd w:id="14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1558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8"/>
        <w:gridCol w:w="6789"/>
        <w:gridCol w:w="3984"/>
        <w:gridCol w:w="3686"/>
      </w:tblGrid>
      <w:tr>
        <w:trPr/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Линейная ячейка 10 кВ  согласно приложения №1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90 (девяноста) календарных дней с даты подписания договора.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orient="landscape" w:w="16838" w:h="11906"/>
          <w:pgMar w:left="567" w:right="567" w:gutter="0" w:header="680" w:top="1134" w:footer="0" w:bottom="567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r>
        <w:rPr/>
        <w:t xml:space="preserve">Требования к </w:t>
      </w:r>
      <w:bookmarkEnd w:id="21"/>
      <w:r>
        <w:rPr>
          <w:lang w:val="ru-RU"/>
        </w:rPr>
        <w:t>качеству продукции</w:t>
      </w:r>
      <w:bookmarkEnd w:id="2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2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2"/>
      <w:r>
        <w:rPr>
          <w:sz w:val="24"/>
          <w:szCs w:val="24"/>
        </w:rPr>
        <w:t xml:space="preserve"> </w:t>
      </w:r>
      <w:bookmarkEnd w:id="19"/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</w:t>
      </w:r>
      <w:r>
        <w:rPr>
          <w:b/>
          <w:bCs/>
          <w:i/>
          <w:iCs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shd w:fill="auto" w:val="clear"/>
          <w:lang w:val="ru-RU" w:eastAsia="ru-RU" w:bidi="ar-SA"/>
        </w:rPr>
        <w:t>«</w:t>
      </w:r>
      <w:r>
        <w:rPr>
          <w:rStyle w:val="Style8"/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shd w:fill="auto" w:val="clear"/>
          <w:lang w:val="ru-RU" w:eastAsia="ru-RU" w:bidi="ar-SA"/>
        </w:rPr>
        <w:t>Линейная ячейка 10 кВ для ПС 110 кВ  Ореховая согласно приложению №1»</w:t>
      </w:r>
    </w:p>
    <w:tbl>
      <w:tblPr>
        <w:tblStyle w:val="af"/>
        <w:tblW w:w="157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3545"/>
        <w:gridCol w:w="211"/>
        <w:gridCol w:w="3757"/>
        <w:gridCol w:w="2268"/>
        <w:gridCol w:w="2694"/>
        <w:gridCol w:w="2693"/>
      </w:tblGrid>
      <w:tr>
        <w:trPr/>
        <w:tc>
          <w:tcPr>
            <w:tcW w:w="56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54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968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96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9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6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4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9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51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Линейная ячейка 10 кВ  согласно приложению №1</w:t>
            </w:r>
          </w:p>
        </w:tc>
        <w:tc>
          <w:tcPr>
            <w:tcW w:w="396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В соответствии с приложением №1к настоящим Техническим требованиям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-//-</w:t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  <w:sz w:val="24"/>
                <w:szCs w:val="24"/>
              </w:rPr>
              <w:t>Требования к сроку изготовления закупаемого оборудования.</w:t>
            </w:r>
          </w:p>
        </w:tc>
        <w:tc>
          <w:tcPr>
            <w:tcW w:w="396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  <w:sz w:val="24"/>
                <w:szCs w:val="24"/>
              </w:rPr>
              <w:t>Год изготовления (выпуска) закупаемого оборудования не ранее</w:t>
            </w:r>
            <w:r>
              <w:rPr>
                <w:bCs/>
                <w:kern w:val="0"/>
                <w:sz w:val="24"/>
                <w:szCs w:val="24"/>
              </w:rPr>
              <w:t xml:space="preserve"> 2025гг.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Указание характеристик.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bCs/>
                <w:kern w:val="0"/>
                <w:sz w:val="24"/>
                <w:szCs w:val="24"/>
              </w:rPr>
              <w:t>Требование к качеству поставляемого оборудования</w:t>
            </w:r>
          </w:p>
        </w:tc>
        <w:tc>
          <w:tcPr>
            <w:tcW w:w="396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bCs/>
                <w:kern w:val="0"/>
                <w:sz w:val="24"/>
                <w:szCs w:val="24"/>
              </w:rPr>
              <w:t>Оборудование должно быть новым, серийного производства, ранее не используемым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513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Линейные ячейки 10 кВ размещаются в КРУН  10 кВ в стесненных условиях, в строго отведенном месте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6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51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51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Федеральным Законом от 27.12.2002 г. № 184-ФЗ «О техническом регулировании», Постановлением Правительства РФ от 23.12.2021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contextualSpacing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Высоковольтное оборудование должно иметь декларацию о соответствии (высоковольтные выключатели ГОСТ 1516.3-96, ГОСТ Р 52565-2006, шкафы КРУ 6-35 кВ ГОСТ 1516.3-96, ГОСТ 14693-90).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Предоставить регистрационные номера деклараций о соответствии или копии деклараций о соответствии на выключатели и шкафы КРУ 10 кВ.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51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 xml:space="preserve">Декларация о соответствии должна иметь электронную регистрацию в едином реестре деклараций на сайте </w:t>
            </w:r>
            <w:hyperlink r:id="rId5">
              <w:r>
                <w:rPr>
                  <w:rFonts w:eastAsia="Times New Roman" w:cs="Times New Roman"/>
                  <w:color w:val="0000FF"/>
                  <w:kern w:val="0"/>
                  <w:sz w:val="24"/>
                  <w:szCs w:val="24"/>
                  <w:u w:val="single"/>
                  <w:lang w:val="ru-RU" w:eastAsia="ru-RU" w:bidi="ar-SA"/>
                </w:rPr>
                <w:t>https://fsa.gov.ru/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( </w:t>
            </w: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требование п.6 ст.24 ФЗ-184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Представить регистрационные номера деклараций о соответствии или копии деклараций о соответствии.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51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 на поставляемое оборудование, включая все его составляющие части (комплектующие изделия).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Не менее 60 (шестидесяти) месяцев с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даты подписания накладной ТОРГ-12 или УПД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Указать точный гарантийный срок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3" w:type="dxa"/>
            <w:tcBorders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 на защиту от коррозии, при отсутствии механических повреждений.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10 лет с даты подписания накладной ТОРГ-12 или УПД.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Cs/>
                <w:kern w:val="0"/>
                <w:sz w:val="24"/>
                <w:szCs w:val="24"/>
                <w:lang w:val="ru-RU" w:eastAsia="ru-RU" w:bidi="ar-SA"/>
              </w:rPr>
              <w:t>Указать точный гарантийный срок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3" w:type="dxa"/>
            <w:tcBorders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51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 продукции (для подтверждения применимости предложенной Участником продукции (в том числе эквивалентной продукции), а также ее соответствия техническим требованиям Заказчика)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56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pStyle w:val="Standard"/>
              <w:widowControl w:val="false"/>
              <w:suppressAutoHyphens w:val="tru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Для проверки соответствия заявленных характеристик и конструктива предложенного оборудования в составе заявки Участник должен представить</w:t>
            </w:r>
          </w:p>
        </w:tc>
        <w:tc>
          <w:tcPr>
            <w:tcW w:w="37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Главные электрические схемы РУ.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главные электрические схемы РУ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56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Габаритно – установочные чертежи шкафов КРУ  (со всеми выступающими частями, отдельностоящей) с указанием всех размеров.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Standard"/>
              <w:widowControl w:val="false"/>
              <w:suppressAutoHyphens w:val="true"/>
              <w:jc w:val="center"/>
              <w:rPr>
                <w:rFonts w:ascii="Liberation Serif" w:hAnsi="Liberation Serif" w:eastAsia="Sylfaen" w:cs="Liberation Serif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Предоставить чертежи с габаритными и установочными размерами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56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 (полный текст) на КРУ-6 кВ.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Standard"/>
              <w:widowControl w:val="false"/>
              <w:suppressAutoHyphens w:val="true"/>
              <w:jc w:val="center"/>
              <w:rPr>
                <w:rFonts w:ascii="Liberation Serif" w:hAnsi="Liberation Serif" w:cs="Liberation Serif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Предоставить руководство по эксплуатации производителя.(полный текст)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56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основании п. 4.6 ГОСТа 14693-90 – протоколы с положительным результатом квалификационных или периодических испытаний КРУ на соответствие заявленных характеристик требованиями ГОСТ 14693-90 п.3.2 (для КРУ-6-10 кВ).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протоколы испытаний в полном объеме.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51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51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КРУ 6 кВ должны соответствовать ГОСТ 14693-90 «Устройства комплектные распределительные негерметизированные в металлической оболочке на напряжение до 10 кВ. Общие технические условия».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51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Выключатели 6-220 кВ должны соответствовать ГОСТ Р 52565-2006 «Выключатели переменного тока на напряжения от 3 до 750 кВ. Общие технические условия».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51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КРУ и встроенное оборудование должно соответствовать требованиям ПУЭ, ТУ, руководствам (инструкциям) по эксплуатации завода-изготовителя, техническому описанию, а также опросным листам.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51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Федеральным Законом от 26.06.2008 г. № 102-ФЗ «Об обеспечении единства измерений» трансформаторы тока, трансформаторы напряжения и счетчики электрической энергии, применяемые в сфере государственного регулирования, должны иметь действующее «Свидетельство об утверждении типа».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отсканированные действующие копии «Свидетельств об утверждении типа» на трансформаторы тока, трансформаторы напряжения и счетчики электрической энергии.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6.</w:t>
            </w: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к доставке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6.1</w:t>
            </w:r>
          </w:p>
        </w:tc>
        <w:tc>
          <w:tcPr>
            <w:tcW w:w="3756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Standard"/>
              <w:widowControl w:val="false"/>
              <w:suppressAutoHyphens w:val="true"/>
              <w:ind w:right="145" w:hanging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Место и способ поставки.</w:t>
            </w:r>
          </w:p>
        </w:tc>
        <w:tc>
          <w:tcPr>
            <w:tcW w:w="375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spacing w:val="-1"/>
                <w:sz w:val="23"/>
                <w:szCs w:val="23"/>
              </w:rPr>
            </w:pPr>
            <w:r>
              <w:rPr>
                <w:bCs/>
                <w:iCs/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при отгрузке ж/д транспортом: станция Хабаровск-2, ДВЖД код - 970001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pacing w:val="-1"/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 xml:space="preserve">код предприятия – 9531, </w:t>
            </w:r>
            <w:r>
              <w:rPr>
                <w:bCs/>
                <w:color w:val="000000"/>
                <w:spacing w:val="-1"/>
                <w:sz w:val="23"/>
                <w:szCs w:val="23"/>
              </w:rPr>
              <w:t xml:space="preserve">при отгрузке транспортной компанией, автотранспортом: </w:t>
            </w:r>
            <w:r>
              <w:rPr>
                <w:b/>
                <w:bCs/>
                <w:i/>
                <w:iCs/>
                <w:color w:val="000000"/>
                <w:spacing w:val="-1"/>
                <w:sz w:val="23"/>
                <w:szCs w:val="23"/>
              </w:rPr>
              <w:t>680009, г. Хабаровск, ул. Промышленная, 13.</w:t>
            </w:r>
          </w:p>
          <w:p>
            <w:pPr>
              <w:pStyle w:val="Normal"/>
              <w:widowControl w:val="false"/>
              <w:jc w:val="left"/>
              <w:rPr>
                <w:b/>
                <w:bCs/>
                <w:iCs/>
                <w:color w:val="000000"/>
                <w:sz w:val="23"/>
                <w:szCs w:val="23"/>
              </w:rPr>
            </w:pPr>
            <w:r>
              <w:rPr>
                <w:b/>
                <w:bCs/>
                <w:iCs/>
                <w:color w:val="000000"/>
                <w:sz w:val="23"/>
                <w:szCs w:val="23"/>
              </w:rPr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-//-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7.</w:t>
            </w: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>
            <w:pPr>
              <w:pStyle w:val="Standard"/>
              <w:widowControl w:val="false"/>
              <w:suppressAutoHyphens w:val="true"/>
              <w:ind w:right="145" w:hanging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bCs/>
                <w:sz w:val="24"/>
                <w:szCs w:val="24"/>
              </w:rPr>
              <w:t>Требования к эквивалентному оборудованию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7.1.</w:t>
            </w: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Допускаются эквиваленты: </w:t>
            </w:r>
            <w:r>
              <w:rPr>
                <w:rFonts w:cs="Times New Roman"/>
                <w:bCs/>
                <w:color w:val="000000"/>
                <w:sz w:val="26"/>
                <w:szCs w:val="26"/>
              </w:rPr>
              <w:t>Эквивалентное оборудование - это оборудование, которое по техническим и функциональным характеристикам не уступает характеристикам, заявленным в документации о закупке, в том числе по гарантийным срокам и срокам эксплуатации.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-//-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Cs/>
                <w:color w:val="000000"/>
                <w:sz w:val="26"/>
                <w:szCs w:val="26"/>
              </w:rPr>
              <w:t>Предоставить подробное техническое описание предлагаемого к поставке эквивалента.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7.2</w:t>
            </w: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/>
            </w:pPr>
            <w:r>
              <w:rPr>
                <w:rFonts w:cs="Times New Roman"/>
                <w:bCs/>
                <w:color w:val="000000"/>
                <w:sz w:val="26"/>
                <w:szCs w:val="26"/>
              </w:rPr>
              <w:t>Параметрами эквивалентности являются технические параметры, указанные в Приложении №1 к данным техническим требованиям на проведение закупки.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-//-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left"/>
              <w:rPr/>
            </w:pPr>
            <w:r>
              <w:rPr>
                <w:rFonts w:cs="Times New Roman"/>
                <w:bCs/>
                <w:color w:val="000000"/>
                <w:sz w:val="26"/>
                <w:szCs w:val="26"/>
              </w:rPr>
              <w:t>Предложение Участника должно содержать подробную техническую информацию в объеме, соответствующем техническим параметрам, указанным Заказчиком в Приложении №1 технических требований.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8.</w:t>
            </w: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Прочие (дополнительные) требования к продукции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left"/>
              <w:rPr/>
            </w:pPr>
            <w:r>
              <w:rPr/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68" w:hRule="atLeast"/>
        </w:trPr>
        <w:tc>
          <w:tcPr>
            <w:tcW w:w="5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8.1</w:t>
            </w:r>
          </w:p>
        </w:tc>
        <w:tc>
          <w:tcPr>
            <w:tcW w:w="3756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Standard"/>
              <w:widowControl w:val="false"/>
              <w:suppressAutoHyphens w:val="tru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Происхождение поставляемой продукции</w:t>
            </w:r>
          </w:p>
        </w:tc>
        <w:tc>
          <w:tcPr>
            <w:tcW w:w="3757" w:type="dxa"/>
            <w:tcBorders>
              <w:top w:val="nil"/>
            </w:tcBorders>
            <w:vAlign w:val="center"/>
          </w:tcPr>
          <w:p>
            <w:pPr>
              <w:pStyle w:val="Standard"/>
              <w:widowControl w:val="false"/>
              <w:suppressAutoHyphens w:val="true"/>
              <w:jc w:val="left"/>
              <w:rPr/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 соответствии с Постановлением Правительства РФ от 23.12.2024 |№ 1875“О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 установлено ограничение закупок товаров (в том числе поставляемых при</w:t>
            </w:r>
          </w:p>
          <w:p>
            <w:pPr>
              <w:pStyle w:val="Standard"/>
              <w:widowControl w:val="false"/>
              <w:suppressAutoHyphens w:val="true"/>
              <w:jc w:val="left"/>
              <w:rPr/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приложению N 2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Calibri" w:cs="Liberation Serif"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eastAsia="Calibri" w:cs="Liberation Serif" w:ascii="Liberation Serif" w:hAnsi="Liberation Serif"/>
                <w:bCs/>
                <w:i/>
                <w:color w:val="000000"/>
                <w:sz w:val="24"/>
                <w:szCs w:val="24"/>
                <w:lang w:eastAsia="en-US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реестровой записи из реестра российской промышленной продукции или реестра евразийских промышленных товаров, содержащей в том числе: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Calibri" w:cs="Liberation Serif" w:ascii="Liberation Serif" w:hAnsi="Liberation Serif"/>
                <w:bCs/>
                <w:i/>
                <w:color w:val="000000"/>
                <w:sz w:val="24"/>
                <w:szCs w:val="24"/>
                <w:lang w:eastAsia="en-US"/>
              </w:rPr>
              <w:t>информацию о совокупном количестве баллов за выполнение (освоение) на территории России, ЕАЭС соответствующих операций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Standard"/>
              <w:widowControl w:val="false"/>
              <w:suppressAutoHyphens w:val="tru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567" w:right="567" w:gutter="0" w:header="680" w:top="1134" w:footer="0" w:bottom="567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23" w:name="_Toc75446583"/>
      <w:bookmarkStart w:id="24" w:name="_Toc53393312"/>
      <w:r>
        <w:rPr>
          <w:lang w:val="ru-RU"/>
        </w:rPr>
        <w:t>Требования к документации по ценообразованию</w:t>
      </w:r>
      <w:bookmarkEnd w:id="24"/>
      <w:r>
        <w:rPr>
          <w:lang w:val="ru-RU"/>
        </w:rPr>
        <w:t xml:space="preserve"> на этапе закупки</w:t>
      </w:r>
      <w:bookmarkEnd w:id="23"/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  <w:lang w:val="x-none" w:eastAsia="x-none"/>
        </w:rPr>
        <w:tab/>
      </w:r>
      <w:r>
        <w:rPr>
          <w:rFonts w:ascii="Liberation Serif" w:hAnsi="Liberation Serif"/>
          <w:sz w:val="28"/>
          <w:szCs w:val="28"/>
          <w:lang w:val="x-none" w:eastAsia="x-none"/>
        </w:rPr>
        <w:t>4.1. В обоснование стоимости своей заявки Участник предоставляет Коммерческое предложение.</w:t>
      </w:r>
    </w:p>
    <w:p>
      <w:pPr>
        <w:pStyle w:val="Normal"/>
        <w:rPr>
          <w:sz w:val="28"/>
          <w:szCs w:val="28"/>
        </w:rPr>
      </w:pPr>
      <w:r>
        <w:rPr>
          <w:rFonts w:ascii="Liberation Serif" w:hAnsi="Liberation Serif"/>
          <w:b w:val="false"/>
          <w:iCs/>
          <w:sz w:val="28"/>
          <w:szCs w:val="28"/>
          <w:lang w:val="x-none" w:eastAsia="x-none"/>
        </w:rPr>
        <w:tab/>
        <w:t>4.2.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25" w:name="_Toc51339699"/>
      <w:bookmarkStart w:id="26" w:name="_Toc46743519"/>
      <w:bookmarkStart w:id="27" w:name="_Toc75446585"/>
      <w:r>
        <w:rPr>
          <w:iCs/>
        </w:rPr>
        <w:t>Приложения</w:t>
      </w:r>
      <w:bookmarkEnd w:id="25"/>
      <w:bookmarkEnd w:id="26"/>
      <w:bookmarkEnd w:id="27"/>
    </w:p>
    <w:p>
      <w:pPr>
        <w:pStyle w:val="ListParagraph"/>
        <w:widowControl w:val="false"/>
        <w:numPr>
          <w:ilvl w:val="0"/>
          <w:numId w:val="9"/>
        </w:numPr>
        <w:tabs>
          <w:tab w:val="clear" w:pos="708"/>
          <w:tab w:val="left" w:pos="426" w:leader="none"/>
        </w:tabs>
        <w:spacing w:before="60" w:after="0"/>
        <w:contextualSpacing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>Приложение №1. Опросный лист на ячейки 10 кВ Пс 110 кВ Ореховая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pacing w:before="60" w:after="0"/>
        <w:ind w:left="720" w:hanging="0"/>
        <w:contextualSpacing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pacing w:before="6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pacing w:before="60" w:after="0"/>
        <w:ind w:left="720" w:hanging="0"/>
        <w:contextualSpacing/>
        <w:jc w:val="both"/>
        <w:rPr>
          <w:sz w:val="28"/>
          <w:szCs w:val="28"/>
          <w:lang w:val="x-none" w:eastAsia="x-none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russianLower"/>
      <w:lvlText w:val="%1)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character" w:styleId="51">
    <w:name w:val="Н5 Знак"/>
    <w:basedOn w:val="3"/>
    <w:qFormat/>
    <w:rPr>
      <w:rFonts w:eastAsia="Calibri"/>
      <w:b w:val="false"/>
      <w:sz w:val="24"/>
      <w:szCs w:val="24"/>
    </w:rPr>
  </w:style>
  <w:style w:type="character" w:styleId="Style15">
    <w:name w:val="На) Знак"/>
    <w:basedOn w:val="Style7"/>
    <w:qFormat/>
    <w:rPr>
      <w:rFonts w:eastAsia="Calibri"/>
      <w:sz w:val="24"/>
      <w:szCs w:val="24"/>
    </w:rPr>
  </w:style>
  <w:style w:type="character" w:styleId="Style16">
    <w:name w:val="НТ Знак"/>
    <w:basedOn w:val="DefaultParagraphFont"/>
    <w:qFormat/>
    <w:rPr>
      <w:b/>
      <w:sz w:val="24"/>
      <w:szCs w:val="24"/>
    </w:rPr>
  </w:style>
  <w:style w:type="character" w:styleId="Style17">
    <w:name w:val="курсив ТТ Знак"/>
    <w:basedOn w:val="DefaultParagraphFont"/>
    <w:qFormat/>
    <w:rPr>
      <w:iCs/>
      <w:sz w:val="24"/>
      <w:szCs w:val="24"/>
    </w:rPr>
  </w:style>
  <w:style w:type="character" w:styleId="ConsPlusNormal">
    <w:name w:val="ConsPlusNormal Знак"/>
    <w:qFormat/>
    <w:rPr>
      <w:rFonts w:ascii="Arial" w:hAnsi="Arial" w:cs="Arial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1" w:customStyle="1">
    <w:name w:val="List Bullet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52">
    <w:name w:val="Н5"/>
    <w:basedOn w:val="Heading3"/>
    <w:qFormat/>
    <w:pPr>
      <w:numPr>
        <w:ilvl w:val="2"/>
        <w:numId w:val="4"/>
      </w:numPr>
      <w:ind w:left="1418" w:right="0" w:hanging="992"/>
      <w:outlineLvl w:val="9"/>
    </w:pPr>
    <w:rPr>
      <w:b w:val="false"/>
    </w:rPr>
  </w:style>
  <w:style w:type="paragraph" w:styleId="Style39">
    <w:name w:val="На)"/>
    <w:basedOn w:val="ListParagraph"/>
    <w:qFormat/>
    <w:pPr>
      <w:numPr>
        <w:ilvl w:val="0"/>
        <w:numId w:val="10"/>
      </w:numPr>
    </w:pPr>
    <w:rPr/>
  </w:style>
  <w:style w:type="paragraph" w:styleId="Style40">
    <w:name w:val="НТ"/>
    <w:basedOn w:val="Normal"/>
    <w:qFormat/>
    <w:pPr/>
    <w:rPr>
      <w:b/>
      <w:sz w:val="24"/>
      <w:szCs w:val="24"/>
    </w:rPr>
  </w:style>
  <w:style w:type="paragraph" w:styleId="Style41">
    <w:name w:val="курсив ТТ"/>
    <w:basedOn w:val="Normal"/>
    <w:qFormat/>
    <w:pPr/>
    <w:rPr>
      <w:iCs/>
      <w:sz w:val="24"/>
      <w:szCs w:val="24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ListNum">
    <w:name w:val="ListNum"/>
    <w:qFormat/>
    <w:pPr>
      <w:widowControl w:val="false"/>
      <w:tabs>
        <w:tab w:val="clear" w:pos="708"/>
        <w:tab w:val="left" w:pos="284" w:leader="none"/>
        <w:tab w:val="left" w:pos="1260" w:leader="none"/>
      </w:tabs>
      <w:suppressAutoHyphens w:val="true"/>
      <w:bidi w:val="0"/>
      <w:spacing w:before="60" w:after="0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u w:val="none"/>
      <w:lang w:val="ru-RU" w:eastAsia="ru-RU" w:bidi="ar-SA"/>
    </w:rPr>
  </w:style>
  <w:style w:type="paragraph" w:styleId="Formattext">
    <w:name w:val="formattext"/>
    <w:basedOn w:val="Normal"/>
    <w:qFormat/>
    <w:pPr>
      <w:spacing w:before="280" w:after="280"/>
    </w:pPr>
    <w:rPr>
      <w:sz w:val="24"/>
      <w:szCs w:val="24"/>
    </w:rPr>
  </w:style>
  <w:style w:type="paragraph" w:styleId="Headertext">
    <w:name w:val="headertext"/>
    <w:basedOn w:val="Normal"/>
    <w:qFormat/>
    <w:pPr>
      <w:spacing w:before="280" w:after="280"/>
    </w:pPr>
    <w:rPr>
      <w:sz w:val="24"/>
      <w:szCs w:val="24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Caption2">
    <w:name w:val="caption2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https://fsa.gov.ru/" TargetMode="Externa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25D54-B118-4DC7-825B-CE35ECA5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Application>AlterOffice/2025.3.1.0$Linux_X86_64 LibreOffice_project/431cd1b79110582f53535c95ed0a2449aadc8bf9</Application>
  <AppVersion>15.0000</AppVersion>
  <Pages>9</Pages>
  <Words>1146</Words>
  <Characters>7898</Characters>
  <CharactersWithSpaces>8856</CharactersWithSpaces>
  <Paragraphs>201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2021-04-05T15:04:00Z</dcterms:created>
  <dc:creator>Быстров Олег Геннадьевич</dc:creator>
  <dc:description/>
  <dc:language>ru-RU</dc:language>
  <cp:lastModifiedBy>redkina_ov</cp:lastModifiedBy>
  <cp:lastPrinted>2006-07-26T14:04:00Z</cp:lastPrinted>
  <dcterms:modified xsi:type="dcterms:W3CDTF">2026-05-21T15:34:38Z</dcterms:modified>
  <cp:revision>279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