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0" w:after="0"/>
        <w:ind w:left="5529" w:firstLine="84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keepLines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0" w:name="__RefHeading___Toc15_2595869219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ТЕХНИЧЕСКИЕ ТРЕБОВАНИЯ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exact" w:line="331" w:before="0" w:after="263"/>
        <w:ind w:left="60" w:hanging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ОКПД 2 </w:t>
      </w:r>
      <w:r>
        <w:rPr>
          <w:rStyle w:val="Strong"/>
          <w:rFonts w:eastAsia="Times New Roman" w:ascii="Times New Roman" w:hAnsi="Times New Roman"/>
          <w:sz w:val="28"/>
          <w:szCs w:val="28"/>
        </w:rPr>
        <w:t>27.32.13.111.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Поставка кабельной продукции для нужд Саратовского филиала</w:t>
      </w:r>
    </w:p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Лот №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TOCHeading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r>
            <w:fldChar w:fldCharType="begin"/>
          </w:r>
          <w:r>
            <w:rPr>
              <w:rStyle w:val="Style22"/>
            </w:rPr>
            <w:instrText xml:space="preserve"> TOC \f \o "1-9" \h</w:instrText>
          </w:r>
          <w:r>
            <w:rPr>
              <w:rStyle w:val="Style22"/>
            </w:rPr>
            <w:fldChar w:fldCharType="separate"/>
          </w:r>
          <w:hyperlink w:anchor="__RefHeading___Toc15_2595869219">
            <w:r>
              <w:rPr>
                <w:rStyle w:val="Style22"/>
              </w:rPr>
              <w:t xml:space="preserve"> </w:t>
            </w:r>
          </w:hyperlink>
          <w:hyperlink w:anchor="__RefHeading___Toc10388_3983621803">
            <w:r>
              <w:rPr>
                <w:rStyle w:val="Style22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0_3983621803">
            <w:r>
              <w:rPr>
                <w:rStyle w:val="Style22"/>
              </w:rPr>
              <w:t>1.1.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2_3983621803">
            <w:r>
              <w:rPr>
                <w:rStyle w:val="Style22"/>
              </w:rPr>
              <w:t>1.2. Цель использования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394_3983621803">
            <w:r>
              <w:rPr>
                <w:rStyle w:val="Style22"/>
              </w:rPr>
              <w:t>2.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396_3983621803">
            <w:r>
              <w:rPr>
                <w:rStyle w:val="Style22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398_3983621803">
            <w:r>
              <w:rPr>
                <w:rStyle w:val="Style22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0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10488" w:leader="dot"/>
            </w:tabs>
            <w:rPr/>
          </w:pPr>
          <w:hyperlink w:anchor="__RefHeading___Toc10402_3983621803">
            <w:r>
              <w:rPr>
                <w:rStyle w:val="Style22"/>
              </w:rPr>
              <w:t>2.1.2. Требования к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4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06_3983621803">
            <w:r>
              <w:rPr>
                <w:rStyle w:val="Style22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488" w:leader="dot"/>
            </w:tabs>
            <w:rPr/>
          </w:pPr>
          <w:hyperlink w:anchor="__RefHeading___Toc10408_3983621803">
            <w:r>
              <w:rPr>
                <w:rStyle w:val="Style22"/>
              </w:rPr>
              <w:t xml:space="preserve"> </w:t>
            </w:r>
            <w:r>
              <w:rPr>
                <w:rStyle w:val="Style22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10488" w:leader="dot"/>
            </w:tabs>
            <w:rPr/>
          </w:pPr>
          <w:hyperlink w:anchor="__RefHeading___Toc10410_3983621803">
            <w:r>
              <w:rPr>
                <w:rStyle w:val="Style22"/>
              </w:rPr>
              <w:t>3. Требования к документации по ценообразованию на этапе закупки</w:t>
              <w:tab/>
              <w:t>9</w:t>
            </w:r>
          </w:hyperlink>
          <w:r>
            <w:rPr>
              <w:rStyle w:val="Style22"/>
            </w:rPr>
            <w:fldChar w:fldCharType="end"/>
          </w:r>
        </w:p>
      </w:sdtContent>
    </w:sdt>
    <w:p>
      <w:pPr>
        <w:pStyle w:val="Heading1"/>
        <w:numPr>
          <w:ilvl w:val="0"/>
          <w:numId w:val="16"/>
        </w:numPr>
        <w:overflowPunct w:val="false"/>
        <w:rPr/>
      </w:pPr>
      <w:r>
        <w:rPr/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keepNext w:val="true"/>
        <w:keepLines/>
        <w:numPr>
          <w:ilvl w:val="0"/>
          <w:numId w:val="15"/>
        </w:numPr>
        <w:overflowPunct w:val="fals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_RefHeading___Toc10388_3983621803"/>
      <w:bookmarkEnd w:id="1"/>
      <w:r>
        <w:rPr>
          <w:rFonts w:cs="Times New Roman" w:ascii="Times New Roman" w:hAnsi="Times New Roman"/>
          <w:b/>
          <w:iCs/>
          <w:sz w:val="24"/>
          <w:szCs w:val="24"/>
        </w:rPr>
        <w:t>Общие сведения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__RefHeading___Toc10390_3983621803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ОКПД 2 27.32.13.111. Поставка кабельной продукции для нужд Саратовского филиала.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240" w:after="60"/>
        <w:ind w:left="431" w:hanging="431"/>
        <w:outlineLvl w:val="3"/>
        <w:rPr>
          <w:rFonts w:ascii="Times New Roman" w:hAnsi="Times New Roman" w:cs="Times New Roman"/>
          <w:sz w:val="24"/>
          <w:szCs w:val="24"/>
        </w:rPr>
      </w:pPr>
      <w:bookmarkStart w:id="3" w:name="__RefHeading___Toc10392_3983621803"/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Цель использования закупаемой продукции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Выполнение работ по договорам: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1.2.1 №1300-355-2023 от 03.11.2023 г. Капитальный и текущий ремонт оборудования, зданий и сооружений для нужд Филиала ПАО "РусГидро" - "Саратовская ГЭС", заключенно</w:t>
      </w:r>
      <w:r>
        <w:rPr>
          <w:rFonts w:cs="Times New Roman" w:ascii="Times New Roman" w:hAnsi="Times New Roman"/>
          <w:sz w:val="24"/>
          <w:szCs w:val="24"/>
        </w:rPr>
        <w:t>му</w:t>
      </w:r>
      <w:r>
        <w:rPr>
          <w:rFonts w:cs="Times New Roman" w:ascii="Times New Roman" w:hAnsi="Times New Roman"/>
          <w:sz w:val="24"/>
          <w:szCs w:val="24"/>
        </w:rPr>
        <w:t xml:space="preserve"> между ПАО «РусГидро»  и АО «Гидроремонт-ВКК»;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color w:val="000000"/>
        </w:rPr>
      </w:pPr>
      <w:r>
        <w:rPr>
          <w:rFonts w:ascii="Times New Roman;serif" w:hAnsi="Times New Roman;serif"/>
          <w:color w:val="000000"/>
          <w:sz w:val="24"/>
        </w:rPr>
        <w:t xml:space="preserve">1.2.2 </w:t>
      </w:r>
      <w:r>
        <w:rPr>
          <w:rFonts w:cs="Times New Roman" w:ascii="Times New Roman" w:hAnsi="Times New Roman"/>
          <w:color w:val="000000"/>
          <w:sz w:val="24"/>
          <w:szCs w:val="24"/>
        </w:rPr>
        <w:t>№ 868 от 31.10.2023 г. заключенному между АО «Гидроремонт-ВКК» и АО «Тяжмаш» на выполнение работ по модернизации гидроагрегата ст. №18 филиала ПАО «РусГидро» - «Саратовская ГЭС»;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11"/>
        </w:numPr>
        <w:overflowPunct w:val="false"/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_RefHeading___Toc10394_3983621803"/>
      <w:bookmarkEnd w:id="4"/>
      <w:r>
        <w:rPr>
          <w:rFonts w:cs="Times New Roman" w:ascii="Times New Roman" w:hAnsi="Times New Roman"/>
          <w:b/>
          <w:iCs/>
          <w:sz w:val="28"/>
          <w:szCs w:val="28"/>
        </w:rPr>
        <w:t>Требования к продукции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5" w:name="__RefHeading___Toc10396_3983621803"/>
      <w:bookmarkEnd w:id="5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объемам и срокам поставки</w:t>
      </w:r>
    </w:p>
    <w:p>
      <w:pPr>
        <w:pStyle w:val="Normal"/>
        <w:keepNext w:val="true"/>
        <w:numPr>
          <w:ilvl w:val="2"/>
          <w:numId w:val="11"/>
        </w:numPr>
        <w:overflowPunct w:val="false"/>
        <w:spacing w:lineRule="auto" w:line="240" w:before="120" w:after="60"/>
        <w:outlineLvl w:val="2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6" w:name="__RefHeading___Toc10398_3983621803"/>
      <w:bookmarkEnd w:id="6"/>
      <w:r>
        <w:rPr>
          <w:rFonts w:cs="Times New Roman" w:ascii="Times New Roman" w:hAnsi="Times New Roman"/>
          <w:b/>
          <w:sz w:val="24"/>
          <w:szCs w:val="24"/>
        </w:rPr>
        <w:t>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7" w:name="__RefHeading___Toc10400_3983621803"/>
      <w:bookmarkEnd w:id="7"/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Таблица 1.1 Перечень и объем закупаемой продукции</w:t>
      </w:r>
    </w:p>
    <w:tbl>
      <w:tblPr>
        <w:tblW w:w="105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9"/>
        <w:gridCol w:w="5150"/>
        <w:gridCol w:w="1365"/>
        <w:gridCol w:w="1575"/>
        <w:gridCol w:w="1711"/>
      </w:tblGrid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>
          <w:trHeight w:val="218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Кабель силовой с изоляцией из ПВХ ВВГнг(A) плоский 3х2.5-0.66кВ (</w:t>
            </w:r>
            <w:r>
              <w:rPr>
                <w:rFonts w:ascii="Times New Roman" w:hAnsi="Times New Roman"/>
                <w:color w:val="000000"/>
                <w:sz w:val="24"/>
              </w:rPr>
              <w:t>ОКПД 2 - 27.32.13.110)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РЗ№48309978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>
          <w:trHeight w:val="2783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 КГВВнг(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А)-LS 2х2,5-0,66кВ (ОКПД 2 - 27.32.13.110)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РЗ№48309745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— 100м;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РЗ№48309755 — 100м;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РЗ№48309765 — 100м.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с изоляцией из ПВХ ВВГнг(А)-LS 3х4-0,66кВ ГОСТ 31996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ВВГнг(А)-LS 5х16-1кВ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ВВГнг(А)-LS 5х35мк(N,PE)-1кВ 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ВВГнг(A)-LS 3х2,5oк(N,PE)-1кВ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 3х4-1кВ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1305 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РЗ№48309745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— 435м;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РЗ№48309755 — 435м;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РЗ№48309765- 435м.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Кабель силовой с изоляцией из ПВХ ВВГнг(A)-LS 5х6ок(N,PE)-1кВ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2 - 27.32.14.110)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60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с изоляцией из ПВХ ВВГнг 2х2,5-0,66кВ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val="en-US" w:eastAsia="ru-RU"/>
              </w:rPr>
              <w:t>РЗ№48309983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ПуГВнг(А)-LS 1х4 (РЕ) желто-зеленый (ОКПД2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- 27.32.13.130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РЗ№48309574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ПЭТВ-2 1,5 круглый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2 - 27.32.11)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ПЭТВ-2 0,95мм круглый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2- 27.32.11)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5,5 (допускается поставка кратно упаковке- цельным куском)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обмоточный  ПЭТВ-2 0,63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2 - 27.32.11)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кг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4,1 (допускается поставка кратно упаковке- цельным куском)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 термостойкий РКГМ 1х1,5 0,66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ОКПД 2 - 27.32.13.199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РЗ№48309978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1х6 0,45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1х2,5 0,45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3,07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РЗ№48309567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 установочный ПуГВ 1х50 450 (ОКПД2-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>Договор №1300-355-2023 от 03.11.2023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ru-RU"/>
              </w:rPr>
              <w:t xml:space="preserve">РЗ№48310008 </w:t>
            </w:r>
            <w:r>
              <w:rPr>
                <w:rFonts w:ascii="Times New Roman" w:hAnsi="Times New Roman"/>
                <w:sz w:val="21"/>
                <w:szCs w:val="21"/>
              </w:rPr>
              <w:t>- 20м;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РЗ№48310009 — 20м.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Цех ЭТО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overflowPunct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  <w:tc>
          <w:tcPr>
            <w:tcW w:w="5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Кабель силовой ВВГнг(А)-LS 5х95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(ОКПД 2 - 27.32.13.110)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м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240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одной длины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111111"/>
                <w:sz w:val="20"/>
                <w:szCs w:val="20"/>
                <w:lang w:eastAsia="ru-RU"/>
              </w:rPr>
              <w:t>Договор  №868 от 31.10.2023г.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57" w:after="5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Модернизация гидроагрегата ст. №18</w:t>
            </w:r>
          </w:p>
          <w:p>
            <w:pPr>
              <w:pStyle w:val="Normal"/>
              <w:widowControl w:val="false"/>
              <w:spacing w:lineRule="auto" w:line="240" w:before="57" w:after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0"/>
                <w:szCs w:val="20"/>
              </w:rPr>
              <w:t>Цех ЭТО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overflowPunct w:val="false"/>
        <w:spacing w:lineRule="auto" w:line="240" w:before="120" w:after="60"/>
        <w:ind w:left="1224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overflowPunct w:val="false"/>
        <w:spacing w:lineRule="auto" w:line="240" w:before="120" w:after="60"/>
        <w:ind w:left="1224" w:hanging="0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2"/>
          <w:numId w:val="11"/>
        </w:numPr>
        <w:overflowPunct w:val="false"/>
        <w:spacing w:lineRule="auto" w:line="240" w:before="120" w:after="6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" w:name="__RefHeading___Toc10402_3983621803"/>
      <w:bookmarkEnd w:id="8"/>
      <w:r>
        <w:rPr>
          <w:rFonts w:cs="Times New Roman" w:ascii="Times New Roman" w:hAnsi="Times New Roman"/>
          <w:b/>
          <w:sz w:val="24"/>
          <w:szCs w:val="24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9" w:name="__RefHeading___Toc10404_3983621803"/>
      <w:bookmarkEnd w:id="9"/>
      <w:r>
        <w:rPr>
          <w:rFonts w:cs="Times New Roman" w:ascii="Times New Roman" w:hAnsi="Times New Roman"/>
          <w:b/>
          <w:sz w:val="24"/>
          <w:szCs w:val="24"/>
        </w:rPr>
        <w:t xml:space="preserve">Таблица 2.1 </w:t>
      </w:r>
      <w:bookmarkStart w:id="10" w:name="_Hlk50465284"/>
      <w:r>
        <w:rPr>
          <w:rFonts w:cs="Times New Roman" w:ascii="Times New Roman" w:hAnsi="Times New Roman"/>
          <w:b/>
          <w:sz w:val="24"/>
          <w:szCs w:val="24"/>
        </w:rPr>
        <w:t xml:space="preserve">Требования по срокам </w:t>
      </w:r>
      <w:bookmarkEnd w:id="10"/>
      <w:r>
        <w:rPr>
          <w:rFonts w:cs="Times New Roman" w:ascii="Times New Roman" w:hAnsi="Times New Roman"/>
          <w:b/>
          <w:sz w:val="24"/>
          <w:szCs w:val="24"/>
        </w:rPr>
        <w:t>поставки продукции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tbl>
      <w:tblPr>
        <w:tblW w:w="1053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739"/>
        <w:gridCol w:w="2940"/>
        <w:gridCol w:w="3000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18"/>
                <w:szCs w:val="24"/>
                <w:lang w:eastAsia="ru-RU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false"/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в соответствии с таблицей 1.1 «Перечень и объем закупаемой продукции».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 16.01.2027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</w:tbl>
    <w:p>
      <w:pPr>
        <w:sectPr>
          <w:footerReference w:type="default" r:id="rId2"/>
          <w:footerReference w:type="first" r:id="rId3"/>
          <w:type w:val="nextPage"/>
          <w:pgSz w:w="11906" w:h="16838"/>
          <w:pgMar w:left="851" w:right="567" w:gutter="0" w:header="0" w:top="567" w:footer="737" w:bottom="794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numPr>
          <w:ilvl w:val="0"/>
          <w:numId w:val="0"/>
        </w:numPr>
        <w:spacing w:lineRule="auto" w:line="240" w:before="240" w:after="60"/>
        <w:ind w:left="0" w:right="0" w:hanging="0"/>
        <w:outlineLvl w:val="0"/>
        <w:rPr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*срок установлен в соответствии с условиями договора, указанного в п. 1.2. Технических требований</w:t>
      </w:r>
    </w:p>
    <w:p>
      <w:pPr>
        <w:pStyle w:val="Normal"/>
        <w:keepNext w:val="true"/>
        <w:numPr>
          <w:ilvl w:val="1"/>
          <w:numId w:val="11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" w:name="__RefHeading___Toc10406_3983621803"/>
      <w:bookmarkEnd w:id="11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__RefHeading___Toc10408_3983621803"/>
      <w:bookmarkEnd w:id="12"/>
      <w:r>
        <w:rPr>
          <w:rFonts w:cs="Times New Roman" w:ascii="Times New Roman" w:hAnsi="Times New Roman"/>
          <w:b/>
          <w:sz w:val="24"/>
          <w:szCs w:val="24"/>
        </w:rPr>
        <w:t>Таблица 3. Требования к продукции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hanging="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Наименование продукции: (позиция №1-</w:t>
      </w:r>
      <w:bookmarkStart w:id="13" w:name="_GoBack"/>
      <w:bookmarkEnd w:id="13"/>
      <w:r>
        <w:rPr>
          <w:rFonts w:cs="Times New Roman" w:ascii="Times New Roman" w:hAnsi="Times New Roman"/>
          <w:b/>
          <w:sz w:val="24"/>
          <w:szCs w:val="24"/>
        </w:rPr>
        <w:t>18 Таблицы 1.1. «Перечень и объем закупаемой продукции»): ОКПД 2 27.32.13.111. Поставка кабельной продукции для нужд Саратовского филиала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583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5647"/>
        <w:gridCol w:w="3863"/>
        <w:gridCol w:w="2946"/>
        <w:gridCol w:w="2668"/>
      </w:tblGrid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eastAsia="ru-RU"/>
              </w:rPr>
              <w:t>ВВГнг(A)-LS-П 3х2,5-0,66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ГОСТ 31996-2012</w:t>
            </w:r>
          </w:p>
        </w:tc>
        <w:tc>
          <w:tcPr>
            <w:tcW w:w="2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Изоляция жил и оболочка из поливинилхлоридного пластиката пониженной горючести с пониженным газо-дымовыделением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Плоский, жилы расположены в одной плоскости параллельно друг другу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45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 — 27, на земле — 36.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КГВВнг(А)-LS 2х2,5-0,66кВ </w:t>
            </w:r>
            <w:r>
              <w:rPr>
                <w:rFonts w:ascii="Times New Roman" w:hAnsi="Times New Roman"/>
                <w:b/>
                <w:bCs/>
                <w:color w:val="040C28"/>
                <w:sz w:val="24"/>
                <w:szCs w:val="24"/>
              </w:rPr>
              <w:t>ГОСТ 24334-2020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22" w:hRule="atLeast"/>
        </w:trPr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безопасности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ВВГнг(А)-LS 3х4-0,66кВ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36, на земле: 47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ВВГнг(А)-LS 5х16-1кВ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78, на земле: 94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ВВГнг(А)-LS 5х35(N,PE) — 1кВ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127, на земле: 146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3,86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ВВГнг(A)-LS 3х2,5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57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27, на земле: 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ВВГнг 3х4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36, на земле: 47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ВВГнг(A)-LS 5х6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42, на земле: 54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ВВГнг(А)-LS 2х2,5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воздухе: 27, на земле: 36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ПуГВнг(А)-LS 1х4 (РЕ) желто-зеленый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31947-2012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-40 до +65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3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ПЭТВ-2 1,5 круглый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ПЭТВ-2 0,95 круглый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ПЭТВ-2 0,63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ГОСТ 26615-85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Эмалевая на основе полиэфиров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Эмалированный, термостойкий, высокопрочная эмаль, 2 тип лака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Пробивное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4,9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+130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часов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РКГМ 1,5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ТУ 16. К80-09-90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Кремнийорганическая резина с оплеткой из стекловолокна пропитанной эмалью или теплостойким лаком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Резиновая изоляция жилы кремнийорганического типа, гибкий, оплетка из стекловолокна, пропитанная эмалью или термостойким лаком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-60 до +180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2,5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ПВ-3 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ГОСТ 6323-79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 установочный, повышенная гибкость, изоляция из поливинилхлорида</w:t>
            </w:r>
          </w:p>
        </w:tc>
        <w:tc>
          <w:tcPr>
            <w:tcW w:w="29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ниже -15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Торговая марка, тип, соответствие стандартам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ВВГнг(А)-LS 5х95</w:t>
            </w:r>
          </w:p>
          <w:p>
            <w:pPr>
              <w:pStyle w:val="Heading2"/>
              <w:widowControl w:val="false"/>
              <w:tabs>
                <w:tab w:val="clear" w:pos="1800"/>
              </w:tabs>
              <w:spacing w:lineRule="auto" w:line="240" w:before="0" w:after="0"/>
              <w:ind w:left="1080" w:hanging="0"/>
              <w:rPr>
                <w:rFonts w:ascii="Times New Roman" w:hAnsi="Times New Roman"/>
                <w:b w:val="false"/>
                <w:color w:val="000000"/>
                <w:sz w:val="24"/>
              </w:rPr>
            </w:pPr>
            <w:r>
              <w:rPr>
                <w:rFonts w:ascii="Times New Roman" w:hAnsi="Times New Roman"/>
                <w:color w:val="001D35"/>
                <w:sz w:val="24"/>
              </w:rPr>
              <w:t>ГОСТ 31996-2012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Число жил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сечение жилы, мм2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Материал жилы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медь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Изоляция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 пониженной пожарной опасности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Наружная оболочка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ПВХ пониженной пожарной опасности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распространяющий горение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Пониженная пожарная опасность, класс пожарной опасности (А), низкий уровень выделения дыма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нг(А)-LS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 допустимая токовая нагрузка, 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воздухе: 242, на земле: 259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Номинальное напряжение кабеля, кВ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0,66/1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Допустимый ток односекундного КЗ, 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Длительно-допустимая температура нагрева жилы,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коротком замыкании,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Максимально допустимая температура жил при перегрузке,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Температура прокладки,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-15 до +25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Диапазон рабочих температур, оС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-50 до +50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Российская Федерация, 413840, Саратовская обл., город Балаково, территория Филиала ПАО «РусГидро» - «Саратовская ГЭС»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Время поставки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C1C1C"/>
                <w:sz w:val="24"/>
                <w:szCs w:val="24"/>
                <w:lang w:eastAsia="ru-RU"/>
              </w:rPr>
              <w:t>в рабочие дни: с 8-00 до 12-00 и с 13-00 до 16-00 (по местному времени) в пятницу с 8-00 до 12-00 и с 13-00 до 15-00 (по местному времени)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информации о транспорте, на котором осуществляется доставка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позднее, чем за 2 рабочих дня, предшествующих дню поставки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36 (тридцать шесть) месяцев, исчисляемая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-//-</w:t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Документы, передаваемые вместе с оборудованием</w:t>
            </w:r>
          </w:p>
        </w:tc>
        <w:tc>
          <w:tcPr>
            <w:tcW w:w="3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Поставщик обязан одновременно с передачей оборудования передать Покупателю документы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относящиеся к изделию и его составным частям,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качества;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паспорт;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по пожарной безопасности;</w:t>
            </w:r>
          </w:p>
          <w:p>
            <w:pPr>
              <w:pStyle w:val="Normal"/>
              <w:widowControl w:val="false"/>
              <w:numPr>
                <w:ilvl w:val="0"/>
                <w:numId w:val="14"/>
              </w:numPr>
              <w:overflowPunct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протоколы заводских испытаний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4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sectPr>
          <w:footerReference w:type="default" r:id="rId4"/>
          <w:footerReference w:type="first" r:id="rId5"/>
          <w:type w:val="nextPage"/>
          <w:pgSz w:orient="landscape" w:w="16838" w:h="11906"/>
          <w:pgMar w:left="992" w:right="567" w:gutter="0" w:header="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keepNext w:val="true"/>
        <w:numPr>
          <w:ilvl w:val="0"/>
          <w:numId w:val="12"/>
        </w:numPr>
        <w:overflowPunct w:val="false"/>
        <w:spacing w:lineRule="auto" w:line="240" w:before="120" w:after="6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_RefHeading___Toc10410_3983621803"/>
      <w:bookmarkEnd w:id="14"/>
      <w:r>
        <w:rPr>
          <w:rFonts w:cs="Times New Roman" w:ascii="Times New Roman" w:hAnsi="Times New Roman"/>
          <w:b/>
          <w:bCs/>
          <w:sz w:val="24"/>
          <w:szCs w:val="24"/>
        </w:rPr>
        <w:t>Требования к документации по ценообразованию на этапе закупки ОКПД 2 27.32.13.111. Поставка кабельной продукции для нужд Саратовского филиала</w:t>
      </w:r>
    </w:p>
    <w:p>
      <w:pPr>
        <w:pStyle w:val="Normal"/>
        <w:spacing w:lineRule="auto" w:line="240" w:before="0" w:after="0"/>
        <w:ind w:left="1080" w:hanging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numPr>
          <w:ilvl w:val="1"/>
          <w:numId w:val="9"/>
        </w:numPr>
        <w:overflowPunct w:val="fals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15" w:name="_Hlk8832598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(с учетом прилагаемой к ней инструкции по заполнению)</w:t>
      </w:r>
      <w:bookmarkEnd w:id="15"/>
      <w:r>
        <w:rPr>
          <w:rFonts w:eastAsia="Times New Roman" w:cs="Times New Roman" w:ascii="Times New Roman" w:hAnsi="Times New Roman"/>
          <w:bCs/>
          <w:iCs/>
          <w:sz w:val="24"/>
          <w:szCs w:val="24"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overflowPunct w:val="false"/>
        <w:spacing w:lineRule="auto" w:line="240" w:before="0" w:after="120"/>
        <w:ind w:left="567" w:right="42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Normal"/>
        <w:spacing w:lineRule="auto" w:line="240" w:before="0" w:after="120"/>
        <w:ind w:left="1647" w:right="423" w:hanging="0"/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footerReference w:type="first" r:id="rId7"/>
      <w:type w:val="nextPage"/>
      <w:pgSz w:w="11906" w:h="16838"/>
      <w:pgMar w:left="426" w:right="284" w:gutter="0" w:header="0" w:top="539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1"/>
    <w:family w:val="roman"/>
    <w:pitch w:val="variable"/>
  </w:font>
  <w:font w:name="Tahoma">
    <w:charset w:val="01"/>
    <w:family w:val="roman"/>
    <w:pitch w:val="variable"/>
  </w:font>
  <w:font w:name="Calibri Light">
    <w:charset w:val="01"/>
    <w:family w:val="roman"/>
    <w:pitch w:val="variable"/>
  </w:font>
  <w:font w:name="TimesNewRomanPSMT">
    <w:altName w:val="Times New Rom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76" w:before="0" w:after="20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460"/>
        </w:tabs>
        <w:ind w:left="109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7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415"/>
        </w:tabs>
        <w:ind w:left="1555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0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1355" w:hanging="504"/>
      </w:pPr>
      <w:rPr>
        <w:sz w:val="24"/>
        <w:b w:val="false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iPriority="0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uiPriority="0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 w:qFormat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3"/>
      </w:numPr>
      <w:spacing w:lineRule="auto" w:line="240"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qFormat/>
    <w:pPr>
      <w:widowControl w:val="false"/>
      <w:tabs>
        <w:tab w:val="clear" w:pos="708"/>
        <w:tab w:val="left" w:pos="1800" w:leader="none"/>
      </w:tabs>
      <w:spacing w:before="200" w:after="0"/>
      <w:ind w:left="1080" w:hanging="360"/>
      <w:outlineLvl w:val="1"/>
    </w:pPr>
    <w:rPr>
      <w:rFonts w:ascii="Cambria" w:hAnsi="Cambria" w:eastAsia="Times New Roman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qFormat/>
    <w:pPr>
      <w:widowControl w:val="false"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2"/>
    </w:pPr>
    <w:rPr>
      <w:rFonts w:ascii="Times New Roman" w:hAnsi="Times New Roman" w:eastAsia="Times New Roman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keepLines/>
      <w:tabs>
        <w:tab w:val="clear" w:pos="708"/>
        <w:tab w:val="left" w:pos="1800" w:leader="none"/>
      </w:tabs>
      <w:spacing w:lineRule="auto" w:line="240" w:before="200" w:after="0"/>
      <w:ind w:left="1080" w:hanging="360"/>
      <w:outlineLvl w:val="3"/>
    </w:pPr>
    <w:rPr>
      <w:rFonts w:ascii="Cambria" w:hAnsi="Cambria" w:eastAsia="Times New Roman" w:cs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40" w:before="200" w:after="0"/>
      <w:outlineLvl w:val="4"/>
    </w:pPr>
    <w:rPr>
      <w:rFonts w:ascii="Cambria" w:hAnsi="Cambria" w:eastAsia="Times New Roman" w:cs="Cambria"/>
      <w:color w:val="243F60"/>
      <w:sz w:val="20"/>
      <w:szCs w:val="2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40" w:before="200" w:after="0"/>
      <w:outlineLvl w:val="5"/>
    </w:pPr>
    <w:rPr>
      <w:rFonts w:ascii="Cambria" w:hAnsi="Cambria" w:eastAsia="Times New Roman" w:cs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40" w:before="200" w:after="0"/>
      <w:outlineLvl w:val="6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40" w:before="200" w:after="0"/>
      <w:outlineLvl w:val="7"/>
    </w:pPr>
    <w:rPr>
      <w:rFonts w:ascii="Cambria" w:hAnsi="Cambria" w:eastAsia="Times New Roman" w:cs="Cambria"/>
      <w:color w:val="4F81BD"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4z0" w:customStyle="1">
    <w:name w:val="WW8Num4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4z1" w:customStyle="1">
    <w:name w:val="WW8Num4z1"/>
    <w:qFormat/>
    <w:rPr>
      <w:b/>
      <w:bCs/>
      <w:i w:val="false"/>
      <w:iCs/>
      <w:sz w:val="24"/>
      <w:szCs w:val="24"/>
    </w:rPr>
  </w:style>
  <w:style w:type="character" w:styleId="WW8Num4z2" w:customStyle="1">
    <w:name w:val="WW8Num4z2"/>
    <w:qFormat/>
    <w:rPr/>
  </w:style>
  <w:style w:type="character" w:styleId="WW8Num5z2" w:customStyle="1">
    <w:name w:val="WW8Num5z2"/>
    <w:qFormat/>
    <w:rPr>
      <w:b w:val="false"/>
      <w:bCs w:val="false"/>
    </w:rPr>
  </w:style>
  <w:style w:type="character" w:styleId="WW8Num6z0" w:customStyle="1">
    <w:name w:val="WW8Num6z0"/>
    <w:qFormat/>
    <w:rPr>
      <w:rFonts w:cs="Times New Roman"/>
    </w:rPr>
  </w:style>
  <w:style w:type="character" w:styleId="WW8Num6z1" w:customStyle="1">
    <w:name w:val="WW8Num6z1"/>
    <w:qFormat/>
    <w:rPr>
      <w:rFonts w:cs="Times New Roman"/>
      <w:color w:val="000000"/>
    </w:rPr>
  </w:style>
  <w:style w:type="character" w:styleId="WW8Num6z2" w:customStyle="1">
    <w:name w:val="WW8Num6z2"/>
    <w:qFormat/>
    <w:rPr>
      <w:rFonts w:ascii="Garamond" w:hAnsi="Garamond" w:cs="Times New Roman"/>
      <w:i w:val="false"/>
    </w:rPr>
  </w:style>
  <w:style w:type="character" w:styleId="WW8Num7z0" w:customStyle="1">
    <w:name w:val="WW8Num7z0"/>
    <w:qFormat/>
    <w:rPr>
      <w:rFonts w:cs="Times New Roman"/>
      <w:i w:val="false"/>
    </w:rPr>
  </w:style>
  <w:style w:type="character" w:styleId="WW8Num7z1" w:customStyle="1">
    <w:name w:val="WW8Num7z1"/>
    <w:qFormat/>
    <w:rPr>
      <w:rFonts w:ascii="Cambria" w:hAnsi="Cambria" w:eastAsia="Times New Roman" w:cs="Times New Roman"/>
      <w:i w:val="false"/>
    </w:rPr>
  </w:style>
  <w:style w:type="character" w:styleId="WW8Num7z2" w:customStyle="1">
    <w:name w:val="WW8Num7z2"/>
    <w:qFormat/>
    <w:rPr>
      <w:rFonts w:cs="Times New Roman"/>
    </w:rPr>
  </w:style>
  <w:style w:type="character" w:styleId="WW8Num8z0" w:customStyle="1">
    <w:name w:val="WW8Num8z0"/>
    <w:qFormat/>
    <w:rPr/>
  </w:style>
  <w:style w:type="character" w:styleId="WW8Num8z4" w:customStyle="1">
    <w:name w:val="WW8Num8z4"/>
    <w:qFormat/>
    <w:rPr>
      <w:rFonts w:ascii="Times New Roman" w:hAnsi="Times New Roman" w:cs="Times New Roman"/>
    </w:rPr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>
      <w:rFonts w:cs="Times New Roman"/>
    </w:rPr>
  </w:style>
  <w:style w:type="character" w:styleId="WW8Num10z1" w:customStyle="1">
    <w:name w:val="WW8Num10z1"/>
    <w:qFormat/>
    <w:rPr>
      <w:rFonts w:cs="Times New Roman"/>
      <w:u w:val="none"/>
    </w:rPr>
  </w:style>
  <w:style w:type="character" w:styleId="WW8Num10z2" w:customStyle="1">
    <w:name w:val="WW8Num10z2"/>
    <w:qFormat/>
    <w:rPr>
      <w:rFonts w:cs="Times New Roman"/>
      <w:strike w:val="false"/>
      <w:dstrike w:val="false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>
      <w:rFonts w:cs="Times New Roman"/>
      <w:i w:val="false"/>
    </w:rPr>
  </w:style>
  <w:style w:type="character" w:styleId="WW8Num12z2" w:customStyle="1">
    <w:name w:val="WW8Num12z2"/>
    <w:qFormat/>
    <w:rPr>
      <w:rFonts w:cs="Times New Roman"/>
    </w:rPr>
  </w:style>
  <w:style w:type="character" w:styleId="WW8Num14z0" w:customStyle="1">
    <w:name w:val="WW8Num14z0"/>
    <w:qFormat/>
    <w:rPr>
      <w:rFonts w:ascii="Times New Roman" w:hAnsi="Times New Roman" w:cs="Times New Roman"/>
    </w:rPr>
  </w:style>
  <w:style w:type="character" w:styleId="WW8Num15z0" w:customStyle="1">
    <w:name w:val="WW8Num15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5z1" w:customStyle="1">
    <w:name w:val="WW8Num15z1"/>
    <w:qFormat/>
    <w:rPr>
      <w:b/>
      <w:bCs/>
      <w:i w:val="false"/>
      <w:iCs/>
      <w:sz w:val="24"/>
      <w:szCs w:val="24"/>
    </w:rPr>
  </w:style>
  <w:style w:type="character" w:styleId="WW8Num15z2" w:customStyle="1">
    <w:name w:val="WW8Num15z2"/>
    <w:qFormat/>
    <w:rPr>
      <w:rFonts w:ascii="Times New Roman" w:hAnsi="Times New Roman" w:cs="Times New Roman"/>
      <w:b w:val="false"/>
      <w:sz w:val="24"/>
      <w:szCs w:val="24"/>
    </w:rPr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z2" w:customStyle="1">
    <w:name w:val="WW8Num1z2"/>
    <w:qFormat/>
    <w:rPr>
      <w:b w:val="false"/>
      <w:bCs w:val="false"/>
    </w:rPr>
  </w:style>
  <w:style w:type="character" w:styleId="WW8Num3z0" w:customStyle="1">
    <w:name w:val="WW8Num3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3z1" w:customStyle="1">
    <w:name w:val="WW8Num3z1"/>
    <w:qFormat/>
    <w:rPr>
      <w:b/>
      <w:bCs/>
      <w:i w:val="false"/>
      <w:iCs/>
      <w:sz w:val="24"/>
      <w:szCs w:val="24"/>
    </w:rPr>
  </w:style>
  <w:style w:type="character" w:styleId="WW8Num3z2" w:customStyle="1">
    <w:name w:val="WW8Num3z2"/>
    <w:qFormat/>
    <w:rPr/>
  </w:style>
  <w:style w:type="character" w:styleId="WW8Num8z1" w:customStyle="1">
    <w:name w:val="WW8Num8z1"/>
    <w:qFormat/>
    <w:rPr>
      <w:rFonts w:ascii="Cambria" w:hAnsi="Cambria" w:eastAsia="Times New Roman" w:cs="Times New Roman"/>
      <w:i w:val="false"/>
    </w:rPr>
  </w:style>
  <w:style w:type="character" w:styleId="WW8Num8z2" w:customStyle="1">
    <w:name w:val="WW8Num8z2"/>
    <w:qFormat/>
    <w:rPr>
      <w:rFonts w:cs="Times New Roman"/>
    </w:rPr>
  </w:style>
  <w:style w:type="character" w:styleId="WW8Num9z4" w:customStyle="1">
    <w:name w:val="WW8Num9z4"/>
    <w:qFormat/>
    <w:rPr>
      <w:rFonts w:ascii="Times New Roman" w:hAnsi="Times New Roman" w:cs="Times New Roman"/>
    </w:rPr>
  </w:style>
  <w:style w:type="character" w:styleId="WW8Num11z1" w:customStyle="1">
    <w:name w:val="WW8Num11z1"/>
    <w:qFormat/>
    <w:rPr>
      <w:rFonts w:ascii="Times New Roman" w:hAnsi="Times New Roman" w:cs="Times New Roman"/>
      <w:sz w:val="28"/>
    </w:rPr>
  </w:style>
  <w:style w:type="character" w:styleId="WW8Num12z1" w:customStyle="1">
    <w:name w:val="WW8Num12z1"/>
    <w:qFormat/>
    <w:rPr>
      <w:rFonts w:cs="Times New Roman"/>
      <w:u w:val="none"/>
    </w:rPr>
  </w:style>
  <w:style w:type="character" w:styleId="WW8Num13z0" w:customStyle="1">
    <w:name w:val="WW8Num13z0"/>
    <w:qFormat/>
    <w:rPr/>
  </w:style>
  <w:style w:type="character" w:styleId="WW8Num14z2" w:customStyle="1">
    <w:name w:val="WW8Num14z2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1" w:customStyle="1">
    <w:name w:val="Основной шрифт абзаца1"/>
    <w:qFormat/>
    <w:rPr/>
  </w:style>
  <w:style w:type="character" w:styleId="11" w:customStyle="1">
    <w:name w:val="Заголовок 1 Знак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Heading2Char" w:customStyle="1">
    <w:name w:val="Heading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Heading3Char" w:customStyle="1">
    <w:name w:val="Heading 3 Char"/>
    <w:qFormat/>
    <w:rPr>
      <w:rFonts w:ascii="Cambria" w:hAnsi="Cambria" w:cs="Times New Roman"/>
      <w:b/>
      <w:bCs/>
      <w:sz w:val="26"/>
      <w:szCs w:val="26"/>
    </w:rPr>
  </w:style>
  <w:style w:type="character" w:styleId="Heading4Char" w:customStyle="1">
    <w:name w:val="Heading 4 Char"/>
    <w:qFormat/>
    <w:rPr>
      <w:rFonts w:ascii="Calibri" w:hAnsi="Calibri" w:cs="Times New Roman"/>
      <w:b/>
      <w:bCs/>
      <w:sz w:val="28"/>
      <w:szCs w:val="28"/>
    </w:rPr>
  </w:style>
  <w:style w:type="character" w:styleId="5" w:customStyle="1">
    <w:name w:val="Заголовок 5 Знак"/>
    <w:qFormat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qFormat/>
    <w:rPr>
      <w:rFonts w:ascii="Cambria" w:hAnsi="Cambria" w:eastAsia="Times New Roman" w:cs="Cambria"/>
      <w:b/>
      <w:bCs/>
      <w:i/>
      <w:iCs/>
      <w:color w:val="4F81BD"/>
    </w:rPr>
  </w:style>
  <w:style w:type="character" w:styleId="2" w:customStyle="1">
    <w:name w:val="Заголовок 2 Знак"/>
    <w:qFormat/>
    <w:rPr>
      <w:rFonts w:ascii="Cambria" w:hAnsi="Cambria" w:eastAsia="Times New Roman" w:cs="Cambria"/>
      <w:b/>
      <w:bCs/>
      <w:color w:val="4F81BD"/>
      <w:sz w:val="28"/>
      <w:szCs w:val="26"/>
    </w:rPr>
  </w:style>
  <w:style w:type="character" w:styleId="3" w:customStyle="1">
    <w:name w:val="Заголовок 3 Знак"/>
    <w:qFormat/>
    <w:rPr>
      <w:rFonts w:ascii="Times New Roman" w:hAnsi="Times New Roman" w:eastAsia="Times New Roman" w:cs="Times New Roman"/>
      <w:b/>
      <w:bCs/>
      <w:color w:val="3366FF"/>
      <w:sz w:val="28"/>
    </w:rPr>
  </w:style>
  <w:style w:type="character" w:styleId="12" w:customStyle="1">
    <w:name w:val="Знак примечания1"/>
    <w:qFormat/>
    <w:rPr>
      <w:rFonts w:cs="Times New Roman"/>
      <w:sz w:val="16"/>
    </w:rPr>
  </w:style>
  <w:style w:type="character" w:styleId="Style" w:customStyle="1">
    <w:name w:val="Текст примечания Знак"/>
    <w:qFormat/>
    <w:rPr>
      <w:rFonts w:ascii="Times New Roman" w:hAnsi="Times New Roman" w:cs="Times New Roman"/>
      <w:sz w:val="20"/>
      <w:szCs w:val="20"/>
    </w:rPr>
  </w:style>
  <w:style w:type="character" w:styleId="Style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Pr>
      <w:rFonts w:cs="Times New Roman"/>
    </w:rPr>
  </w:style>
  <w:style w:type="character" w:styleId="Apple-converted-space" w:customStyle="1">
    <w:name w:val="apple-converted-space"/>
    <w:qFormat/>
    <w:rPr>
      <w:rFonts w:cs="Times New Roman"/>
    </w:rPr>
  </w:style>
  <w:style w:type="character" w:styleId="Style2" w:customStyle="1">
    <w:name w:val="Текст сноски Знак"/>
    <w:qFormat/>
    <w:rPr>
      <w:rFonts w:ascii="Times New Roman" w:hAnsi="Times New Roman" w:cs="Times New Roman"/>
      <w:sz w:val="20"/>
      <w:szCs w:val="20"/>
    </w:rPr>
  </w:style>
  <w:style w:type="character" w:styleId="Style3" w:customStyle="1">
    <w:name w:val="Символ сноски"/>
    <w:qFormat/>
    <w:rPr>
      <w:rFonts w:cs="Times New Roman"/>
      <w:vertAlign w:val="superscript"/>
    </w:rPr>
  </w:style>
  <w:style w:type="character" w:styleId="13" w:customStyle="1">
    <w:name w:val="Подпункт Знак1"/>
    <w:qFormat/>
    <w:rPr>
      <w:b/>
    </w:rPr>
  </w:style>
  <w:style w:type="character" w:styleId="Style4" w:customStyle="1">
    <w:name w:val="Верхний колонтитул Знак"/>
    <w:qFormat/>
    <w:rPr>
      <w:rFonts w:cs="Times New Roman"/>
    </w:rPr>
  </w:style>
  <w:style w:type="character" w:styleId="Style5" w:customStyle="1">
    <w:name w:val="Нижний колонтитул Знак"/>
    <w:qFormat/>
    <w:rPr>
      <w:rFonts w:cs="Times New Roman"/>
    </w:rPr>
  </w:style>
  <w:style w:type="character" w:styleId="Linenumber">
    <w:name w:val="line number"/>
    <w:qFormat/>
    <w:rPr>
      <w:rFonts w:cs="Times New Roman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7" w:customStyle="1">
    <w:name w:val="Название Знак"/>
    <w:qFormat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rFonts w:cs="Times New Roman"/>
      <w:b/>
    </w:rPr>
  </w:style>
  <w:style w:type="character" w:styleId="Emphasis">
    <w:name w:val="Emphasis"/>
    <w:qFormat/>
    <w:rPr>
      <w:rFonts w:cs="Times New Roman"/>
      <w:i/>
    </w:rPr>
  </w:style>
  <w:style w:type="character" w:styleId="21" w:customStyle="1">
    <w:name w:val="Цитата 2 Знак"/>
    <w:qFormat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qFormat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qFormat/>
    <w:rPr>
      <w:rFonts w:cs="Times New Roman"/>
      <w:i/>
      <w:color w:val="808080"/>
    </w:rPr>
  </w:style>
  <w:style w:type="character" w:styleId="IntenseEmphasis">
    <w:name w:val="Intense Emphasis"/>
    <w:qFormat/>
    <w:rPr>
      <w:rFonts w:cs="Times New Roman"/>
      <w:b/>
      <w:i/>
      <w:color w:val="4F81BD"/>
    </w:rPr>
  </w:style>
  <w:style w:type="character" w:styleId="SubtleReference">
    <w:name w:val="Subtle Reference"/>
    <w:qFormat/>
    <w:rPr>
      <w:rFonts w:cs="Times New Roman"/>
      <w:smallCaps/>
      <w:color w:val="C0504D"/>
      <w:u w:val="single"/>
    </w:rPr>
  </w:style>
  <w:style w:type="character" w:styleId="IntenseReference">
    <w:name w:val="Intense Reference"/>
    <w:qFormat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qFormat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qFormat/>
    <w:rPr>
      <w:rFonts w:ascii="Times New Roman" w:hAnsi="Times New Roman" w:cs="Times New Roman"/>
      <w:sz w:val="24"/>
      <w:szCs w:val="24"/>
    </w:rPr>
  </w:style>
  <w:style w:type="character" w:styleId="Style11" w:customStyle="1">
    <w:name w:val="Тема примечания Знак"/>
    <w:qFormat/>
    <w:rPr>
      <w:rFonts w:ascii="Times New Roman" w:hAnsi="Times New Roman" w:cs="Times New Roman"/>
      <w:b/>
      <w:bCs/>
      <w:sz w:val="20"/>
      <w:szCs w:val="20"/>
    </w:rPr>
  </w:style>
  <w:style w:type="character" w:styleId="Style12" w:customStyle="1">
    <w:name w:val="Основной текст_"/>
    <w:qFormat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ar-SA"/>
    </w:rPr>
  </w:style>
  <w:style w:type="character" w:styleId="22" w:customStyle="1">
    <w:name w:val="Основной текст (2)_"/>
    <w:qFormat/>
    <w:rPr>
      <w:rFonts w:cs="Times New Roman"/>
      <w:b/>
      <w:bCs/>
      <w:sz w:val="26"/>
      <w:szCs w:val="26"/>
      <w:lang w:bidi="ar-SA"/>
    </w:rPr>
  </w:style>
  <w:style w:type="character" w:styleId="23" w:customStyle="1">
    <w:name w:val="Основной текст (2) + Не полужирный"/>
    <w:qFormat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styleId="Style14" w:customStyle="1">
    <w:name w:val="Основной текст Знак"/>
    <w:qFormat/>
    <w:rPr>
      <w:rFonts w:cs="Times New Roman"/>
    </w:rPr>
  </w:style>
  <w:style w:type="character" w:styleId="31" w:customStyle="1">
    <w:name w:val="Основной текст (3)"/>
    <w:qFormat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FooterChar" w:customStyle="1">
    <w:name w:val="Footer Char"/>
    <w:qFormat/>
    <w:rPr>
      <w:rFonts w:cs="Times New Roman"/>
      <w:sz w:val="22"/>
      <w:szCs w:val="22"/>
      <w:lang w:val="ru-RU"/>
    </w:rPr>
  </w:style>
  <w:style w:type="character" w:styleId="18" w:customStyle="1">
    <w:name w:val="Знак Знак18"/>
    <w:qFormat/>
    <w:rPr>
      <w:rFonts w:ascii="Cambria" w:hAnsi="Cambria" w:cs="Cambria"/>
      <w:b/>
      <w:bCs/>
      <w:color w:val="4F81BD"/>
      <w:sz w:val="28"/>
      <w:szCs w:val="26"/>
      <w:lang w:val="ru-RU" w:bidi="ar-SA"/>
    </w:rPr>
  </w:style>
  <w:style w:type="character" w:styleId="17" w:customStyle="1">
    <w:name w:val="Знак Знак17"/>
    <w:qFormat/>
    <w:rPr>
      <w:b/>
      <w:bCs/>
      <w:color w:val="3366FF"/>
      <w:sz w:val="28"/>
      <w:lang w:val="ru-RU" w:bidi="ar-SA"/>
    </w:rPr>
  </w:style>
  <w:style w:type="character" w:styleId="Info-blockchars-list-item-value" w:customStyle="1">
    <w:name w:val="info-block__chars-list-item-value"/>
    <w:qFormat/>
    <w:rPr/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Fontstyle01" w:customStyle="1">
    <w:name w:val="fontstyle01"/>
    <w:qFormat/>
    <w:rPr>
      <w:rFonts w:ascii="TimesNewRomanPSMT;Times New Rom" w:hAnsi="TimesNewRomanPSMT;Times New Rom" w:cs="TimesNewRomanPSMT;Times New Rom"/>
      <w:b w:val="false"/>
      <w:bCs w:val="false"/>
      <w:i w:val="false"/>
      <w:iCs w:val="false"/>
      <w:color w:val="000000"/>
      <w:sz w:val="20"/>
      <w:szCs w:val="20"/>
    </w:rPr>
  </w:style>
  <w:style w:type="character" w:styleId="Style16" w:customStyle="1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32" w:customStyle="1">
    <w:name w:val="Основной текст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33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Pagenumber">
    <w:name w:val="page number"/>
    <w:qFormat/>
    <w:rPr/>
  </w:style>
  <w:style w:type="character" w:styleId="Blk" w:customStyle="1">
    <w:name w:val="blk"/>
    <w:qFormat/>
    <w:rPr/>
  </w:style>
  <w:style w:type="character" w:styleId="Style17" w:customStyle="1">
    <w:name w:val="Абзац списка Знак"/>
    <w:qFormat/>
    <w:rPr>
      <w:rFonts w:ascii="Times New Roman" w:hAnsi="Times New Roman" w:cs="Times New Roman"/>
      <w:sz w:val="22"/>
      <w:szCs w:val="22"/>
    </w:rPr>
  </w:style>
  <w:style w:type="character" w:styleId="Style18" w:customStyle="1">
    <w:name w:val="комментарий"/>
    <w:qFormat/>
    <w:rPr>
      <w:b/>
      <w:i/>
      <w:shd w:fill="FFFF99" w:val="clear"/>
    </w:rPr>
  </w:style>
  <w:style w:type="character" w:styleId="Style19" w:customStyle="1">
    <w:name w:val="Подподпункт Знак"/>
    <w:qFormat/>
    <w:rPr>
      <w:b/>
    </w:rPr>
  </w:style>
  <w:style w:type="character" w:styleId="34" w:customStyle="1">
    <w:name w:val="УРОВЕНЬ_Абзац_тип3 Знак"/>
    <w:qFormat/>
    <w:rPr>
      <w:rFonts w:ascii="Times New Roman" w:hAnsi="Times New Roman" w:cs="Times New Roman"/>
      <w:sz w:val="26"/>
      <w:szCs w:val="28"/>
    </w:rPr>
  </w:style>
  <w:style w:type="character" w:styleId="Style20" w:customStyle="1">
    <w:name w:val="Текст концевой сноски Знак"/>
    <w:qFormat/>
    <w:rPr>
      <w:rFonts w:ascii="Times New Roman" w:hAnsi="Times New Roman" w:eastAsia="Times New Roman" w:cs="Times New Roman"/>
    </w:rPr>
  </w:style>
  <w:style w:type="character" w:styleId="Style21" w:customStyle="1">
    <w:name w:val="Символ концевой сноски"/>
    <w:qFormat/>
    <w:rPr>
      <w:vertAlign w:val="superscript"/>
    </w:rPr>
  </w:style>
  <w:style w:type="character" w:styleId="26" w:customStyle="1">
    <w:name w:val="Пункт2 Знак"/>
    <w:qFormat/>
    <w:rPr>
      <w:rFonts w:ascii="Times New Roman" w:hAnsi="Times New Roman" w:eastAsia="Times New Roman" w:cs="Times New Roman"/>
      <w:b/>
      <w:sz w:val="28"/>
    </w:rPr>
  </w:style>
  <w:style w:type="character" w:styleId="14" w:customStyle="1">
    <w:name w:val="УРОВЕНЬ_1. Знак"/>
    <w:qFormat/>
    <w:rPr>
      <w:rFonts w:ascii="Times New Roman" w:hAnsi="Times New Roman" w:cs="Times New Roman"/>
      <w:caps/>
      <w:sz w:val="28"/>
      <w:szCs w:val="28"/>
    </w:rPr>
  </w:style>
  <w:style w:type="character" w:styleId="15" w:customStyle="1">
    <w:name w:val="Неразрешенное упоминание1"/>
    <w:qFormat/>
    <w:rPr>
      <w:color w:val="605E5C"/>
      <w:shd w:fill="E1DFDD" w:val="clear"/>
    </w:rPr>
  </w:style>
  <w:style w:type="character" w:styleId="Style22" w:customStyle="1">
    <w:name w:val="Ссылка указателя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hd w:val="clear" w:color="auto" w:fill="FFFFFF"/>
      <w:spacing w:lineRule="atLeast" w:line="240" w:before="0" w:after="0"/>
      <w:jc w:val="right"/>
    </w:pPr>
    <w:rPr>
      <w:rFonts w:ascii="Times New Roman" w:hAnsi="Times New Roman" w:eastAsia="Gulim;굴림" w:cs="Times New Roman"/>
      <w:sz w:val="23"/>
      <w:szCs w:val="23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6"/>
    <w:qFormat/>
    <w:pPr>
      <w:suppressLineNumbers/>
    </w:pPr>
    <w:rPr>
      <w:b/>
      <w:bCs/>
      <w:sz w:val="32"/>
      <w:szCs w:val="32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41" w:customStyle="1">
    <w:name w:val="Заголовок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2" w:customStyle="1">
    <w:name w:val="Указатель4"/>
    <w:basedOn w:val="Normal"/>
    <w:qFormat/>
    <w:pPr>
      <w:suppressLineNumbers/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5" w:customStyle="1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43" w:customStyle="1">
    <w:name w:val="Название объекта4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37" w:customStyle="1">
    <w:name w:val="Название объекта3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8" w:customStyle="1">
    <w:name w:val="Указатель2"/>
    <w:basedOn w:val="Normal"/>
    <w:qFormat/>
    <w:pPr>
      <w:suppressLineNumbers/>
    </w:pPr>
    <w:rPr/>
  </w:style>
  <w:style w:type="paragraph" w:styleId="16" w:customStyle="1">
    <w:name w:val="Заголовок1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Times New Roman" w:cs="Cambria"/>
      <w:color w:val="17365D"/>
      <w:spacing w:val="5"/>
      <w:kern w:val="2"/>
      <w:sz w:val="52"/>
      <w:szCs w:val="52"/>
    </w:rPr>
  </w:style>
  <w:style w:type="paragraph" w:styleId="29" w:customStyle="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9" w:customStyle="1">
    <w:name w:val="Указатель1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110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5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ascii="Times New Roman" w:hAnsi="Times New Roman" w:eastAsia="MS Mincho;ＭＳ 明朝" w:cs="Times New Roman"/>
      <w:sz w:val="28"/>
      <w:szCs w:val="28"/>
    </w:rPr>
  </w:style>
  <w:style w:type="paragraph" w:styleId="Style26" w:customStyle="1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18"/>
      <w:szCs w:val="18"/>
    </w:rPr>
  </w:style>
  <w:style w:type="paragraph" w:styleId="Style27" w:customStyle="1">
    <w:name w:val="Текст таблицы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28" w:customStyle="1">
    <w:name w:val="Пункт Знак"/>
    <w:basedOn w:val="Normal"/>
    <w:qFormat/>
    <w:pPr>
      <w:numPr>
        <w:ilvl w:val="0"/>
        <w:numId w:val="6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Style29" w:customStyle="1">
    <w:name w:val="Подпункт"/>
    <w:basedOn w:val="Style28"/>
    <w:qFormat/>
    <w:pPr>
      <w:tabs>
        <w:tab w:val="clear" w:pos="1134"/>
        <w:tab w:val="left" w:pos="851" w:leader="none"/>
      </w:tabs>
    </w:pPr>
    <w:rPr>
      <w:rFonts w:ascii="Calibri" w:hAnsi="Calibri" w:eastAsia="Calibri" w:cs="Calibri"/>
      <w:sz w:val="20"/>
    </w:rPr>
  </w:style>
  <w:style w:type="paragraph" w:styleId="Style30" w:customStyle="1">
    <w:name w:val="Подподпункт"/>
    <w:basedOn w:val="Style29"/>
    <w:qFormat/>
    <w:p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31" w:customStyle="1">
    <w:name w:val="Подподподпункт"/>
    <w:basedOn w:val="Normal"/>
    <w:qFormat/>
    <w:pPr>
      <w:tabs>
        <w:tab w:val="clear" w:pos="708"/>
        <w:tab w:val="left" w:pos="567" w:leader="none"/>
        <w:tab w:val="left" w:pos="1134" w:leader="none"/>
        <w:tab w:val="left" w:pos="1701" w:leader="none"/>
      </w:tabs>
      <w:spacing w:lineRule="auto" w:line="360" w:before="0" w:after="0"/>
      <w:ind w:left="567" w:hanging="27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111" w:customStyle="1">
    <w:name w:val="Пункт1"/>
    <w:basedOn w:val="Normal"/>
    <w:qFormat/>
    <w:pPr>
      <w:tabs>
        <w:tab w:val="clear" w:pos="708"/>
        <w:tab w:val="left" w:pos="567" w:leader="none"/>
      </w:tabs>
      <w:spacing w:lineRule="auto" w:line="360" w:before="240" w:after="0"/>
      <w:ind w:left="567" w:hanging="279"/>
      <w:jc w:val="center"/>
    </w:pPr>
    <w:rPr>
      <w:rFonts w:ascii="Arial" w:hAnsi="Arial" w:eastAsia="Times New Roman" w:cs="Arial"/>
      <w:b/>
      <w:sz w:val="28"/>
      <w:szCs w:val="28"/>
    </w:rPr>
  </w:style>
  <w:style w:type="paragraph" w:styleId="38" w:customStyle="1">
    <w:name w:val="Пункт_3"/>
    <w:basedOn w:val="Normal"/>
    <w:qFormat/>
    <w:pPr>
      <w:spacing w:lineRule="auto" w:line="360" w:before="0" w:after="0"/>
      <w:ind w:left="1134" w:hanging="1133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TOC1">
    <w:name w:val="TOC 1"/>
    <w:basedOn w:val="Normal"/>
    <w:next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OC2">
    <w:name w:val="TOC 2"/>
    <w:basedOn w:val="Normal"/>
    <w:next w:val="Normal"/>
    <w:pPr>
      <w:spacing w:before="0" w:after="100"/>
      <w:ind w:left="220" w:hanging="0"/>
    </w:pPr>
    <w:rPr/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ConsPlusNormal" w:customStyle="1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2" w:customStyle="1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12" w:customStyle="1">
    <w:name w:val="Абзац списка1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Style33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113" w:customStyle="1">
    <w:name w:val="Схема документа1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cs="Times New Roman"/>
      <w:sz w:val="24"/>
      <w:szCs w:val="24"/>
    </w:rPr>
  </w:style>
  <w:style w:type="paragraph" w:styleId="114" w:customStyle="1">
    <w:name w:val="Название объекта1"/>
    <w:basedOn w:val="Normal"/>
    <w:next w:val="Normal"/>
    <w:qFormat/>
    <w:pPr>
      <w:spacing w:lineRule="auto" w:line="240" w:before="0" w:after="0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qFormat/>
    <w:pPr>
      <w:spacing w:lineRule="auto" w:line="240" w:before="0" w:after="0"/>
      <w:ind w:left="1066" w:firstLine="709"/>
    </w:pPr>
    <w:rPr>
      <w:rFonts w:ascii="Cambria" w:hAnsi="Cambria" w:eastAsia="Times New Roman" w:cs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qFormat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qFormat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115" w:customStyle="1">
    <w:name w:val="Заголовок таблицы ссылок1"/>
    <w:basedOn w:val="Heading1"/>
    <w:next w:val="Normal"/>
    <w:qFormat/>
    <w:pPr>
      <w:outlineLvl w:val="9"/>
    </w:pPr>
    <w:rPr/>
  </w:style>
  <w:style w:type="paragraph" w:styleId="E-mailSignature">
    <w:name w:val="E-mail Signature"/>
    <w:basedOn w:val="Normal"/>
    <w:qFormat/>
    <w:pPr>
      <w:spacing w:lineRule="auto" w:line="240" w:before="0" w:after="0"/>
    </w:pPr>
    <w:rPr>
      <w:rFonts w:ascii="Times New Roman" w:hAnsi="Times New Roman" w:cs="Times New Roman"/>
      <w:sz w:val="24"/>
      <w:szCs w:val="24"/>
    </w:rPr>
  </w:style>
  <w:style w:type="paragraph" w:styleId="Style35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110"/>
    <w:next w:val="110"/>
    <w:qFormat/>
    <w:pPr/>
    <w:rPr>
      <w:rFonts w:eastAsia="Calibri"/>
      <w:b/>
      <w:bCs/>
    </w:rPr>
  </w:style>
  <w:style w:type="paragraph" w:styleId="39" w:customStyle="1">
    <w:name w:val="Нумерованный список ур3"/>
    <w:basedOn w:val="Normal"/>
    <w:qFormat/>
    <w:pPr>
      <w:numPr>
        <w:ilvl w:val="0"/>
        <w:numId w:val="2"/>
      </w:numPr>
      <w:spacing w:lineRule="auto" w:line="240" w:before="0" w:after="0"/>
      <w:jc w:val="both"/>
    </w:pPr>
    <w:rPr>
      <w:rFonts w:ascii="Garamond" w:hAnsi="Garamond" w:eastAsia="Times New Roman" w:cs="Garamond"/>
      <w:sz w:val="24"/>
      <w:szCs w:val="20"/>
    </w:rPr>
  </w:style>
  <w:style w:type="paragraph" w:styleId="116" w:customStyle="1">
    <w:name w:val="Нумерованный список1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210" w:customStyle="1">
    <w:name w:val="Нумерованный список ур2"/>
    <w:basedOn w:val="Normal"/>
    <w:qFormat/>
    <w:pPr>
      <w:tabs>
        <w:tab w:val="clear" w:pos="708"/>
        <w:tab w:val="left" w:pos="360" w:leader="none"/>
      </w:tabs>
      <w:spacing w:lineRule="auto" w:line="240" w:before="120" w:after="0"/>
      <w:ind w:left="360" w:hanging="360"/>
      <w:jc w:val="both"/>
    </w:pPr>
    <w:rPr>
      <w:rFonts w:ascii="Garamond" w:hAnsi="Garamond" w:eastAsia="Times New Roman" w:cs="Garamond"/>
      <w:sz w:val="24"/>
      <w:szCs w:val="20"/>
    </w:rPr>
  </w:style>
  <w:style w:type="paragraph" w:styleId="NormalWeb">
    <w:name w:val="Normal (Web)"/>
    <w:basedOn w:val="Normal"/>
    <w:qFormat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310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6" w:customStyle="1">
    <w:name w:val="Пункт"/>
    <w:basedOn w:val="Normal"/>
    <w:qFormat/>
    <w:pPr>
      <w:widowControl w:val="false"/>
      <w:spacing w:lineRule="auto" w:line="360" w:before="120" w:after="0"/>
      <w:ind w:left="1134" w:right="800" w:hanging="1134"/>
      <w:jc w:val="both"/>
    </w:pPr>
    <w:rPr>
      <w:rFonts w:ascii="Arial" w:hAnsi="Arial" w:eastAsia="Times New Roman" w:cs="Arial"/>
      <w:b/>
      <w:i/>
      <w:sz w:val="28"/>
      <w:szCs w:val="20"/>
    </w:rPr>
  </w:style>
  <w:style w:type="paragraph" w:styleId="211" w:customStyle="1">
    <w:name w:val="Абзац списка2"/>
    <w:basedOn w:val="Normal"/>
    <w:qFormat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pPr>
      <w:numPr>
        <w:ilvl w:val="0"/>
        <w:numId w:val="8"/>
      </w:numPr>
      <w:spacing w:lineRule="auto" w:line="240" w:before="0" w:after="240"/>
      <w:contextualSpacing/>
      <w:jc w:val="both"/>
    </w:pPr>
    <w:rPr>
      <w:szCs w:val="20"/>
    </w:rPr>
  </w:style>
  <w:style w:type="paragraph" w:styleId="117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8"/>
      <w:lang w:eastAsia="ru-RU"/>
    </w:rPr>
  </w:style>
  <w:style w:type="paragraph" w:styleId="212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7" w:before="0" w:after="300"/>
      <w:jc w:val="center"/>
    </w:pPr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styleId="Style37" w:customStyle="1">
    <w:name w:val="Пункт договора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</w:rPr>
  </w:style>
  <w:style w:type="paragraph" w:styleId="311" w:customStyle="1">
    <w:name w:val="Абзац списка3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Times New Roman" w:cs="Times New Roman"/>
    </w:rPr>
  </w:style>
  <w:style w:type="paragraph" w:styleId="Style38" w:customStyle="1">
    <w:name w:val="Название раздела инструкции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39" w:customStyle="1">
    <w:name w:val="Раздел положения"/>
    <w:basedOn w:val="Normal"/>
    <w:qFormat/>
    <w:pPr>
      <w:numPr>
        <w:ilvl w:val="0"/>
        <w:numId w:val="5"/>
      </w:numPr>
      <w:spacing w:lineRule="auto" w:line="240" w:before="80" w:after="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Style40" w:customStyle="1">
    <w:name w:val="Подраздел раздела положения"/>
    <w:basedOn w:val="Normal"/>
    <w:qFormat/>
    <w:pPr>
      <w:tabs>
        <w:tab w:val="clear" w:pos="708"/>
        <w:tab w:val="left" w:pos="360" w:leader="none"/>
      </w:tabs>
      <w:spacing w:lineRule="auto" w:line="240" w:before="80" w:after="80"/>
      <w:ind w:left="360" w:hanging="36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8" w:customStyle="1">
    <w:name w:val="Шапка 1"/>
    <w:basedOn w:val="Normal"/>
    <w:qFormat/>
    <w:pPr>
      <w:pBdr>
        <w:bottom w:val="thickThinSmallGap" w:sz="24" w:space="1" w:color="000000"/>
      </w:pBdr>
      <w:spacing w:lineRule="auto" w:line="240" w:before="0" w:after="240"/>
      <w:jc w:val="center"/>
    </w:pPr>
    <w:rPr>
      <w:rFonts w:ascii="Times New Roman" w:hAnsi="Times New Roman" w:eastAsia="Times New Roman" w:cs="Times New Roman"/>
    </w:rPr>
  </w:style>
  <w:style w:type="paragraph" w:styleId="213" w:customStyle="1">
    <w:name w:val="Шапка 2"/>
    <w:basedOn w:val="Normal"/>
    <w:qFormat/>
    <w:pPr>
      <w:pBdr>
        <w:bottom w:val="thickThinSmallGap" w:sz="24" w:space="1" w:color="000000"/>
      </w:pBdr>
      <w:spacing w:lineRule="auto" w:line="240" w:before="0" w:after="120"/>
      <w:jc w:val="center"/>
    </w:pPr>
    <w:rPr>
      <w:rFonts w:ascii="Times New Roman" w:hAnsi="Times New Roman" w:eastAsia="Times New Roman" w:cs="Times New Roman"/>
      <w:b/>
    </w:rPr>
  </w:style>
  <w:style w:type="paragraph" w:styleId="312" w:customStyle="1">
    <w:name w:val="Шапка 3"/>
    <w:basedOn w:val="Normal"/>
    <w:qFormat/>
    <w:pPr>
      <w:pBdr>
        <w:bottom w:val="thickThinSmallGap" w:sz="24" w:space="1" w:color="000000"/>
      </w:pBdr>
      <w:spacing w:lineRule="auto" w:line="240" w:before="240" w:after="360"/>
      <w:jc w:val="center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119" w:customStyle="1">
    <w:name w:val="Название1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BodyTextIndent">
    <w:name w:val="Body Text Indent"/>
    <w:basedOn w:val="Normal"/>
    <w:pPr>
      <w:spacing w:lineRule="auto" w:line="240" w:before="0" w:after="0"/>
      <w:ind w:left="3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214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8"/>
      <w:szCs w:val="28"/>
    </w:rPr>
  </w:style>
  <w:style w:type="paragraph" w:styleId="313" w:customStyle="1">
    <w:name w:val="Основной текст 31"/>
    <w:basedOn w:val="Normal"/>
    <w:qFormat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314" w:customStyle="1">
    <w:name w:val="Основной текст с отступом 31"/>
    <w:basedOn w:val="Normal"/>
    <w:qFormat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215" w:customStyle="1">
    <w:name w:val="Основной текст 21"/>
    <w:basedOn w:val="Normal"/>
    <w:qFormat/>
    <w:pPr>
      <w:spacing w:lineRule="auto" w:line="480" w:before="0" w:after="120"/>
    </w:pPr>
    <w:rPr>
      <w:rFonts w:ascii="Times New Roman" w:hAnsi="Times New Roman" w:eastAsia="Times New Roman" w:cs="Times New Roman"/>
      <w:sz w:val="28"/>
      <w:szCs w:val="28"/>
    </w:rPr>
  </w:style>
  <w:style w:type="paragraph" w:styleId="120" w:customStyle="1">
    <w:name w:val="Цитата1"/>
    <w:basedOn w:val="Normal"/>
    <w:qFormat/>
    <w:pPr>
      <w:spacing w:lineRule="auto" w:line="240" w:before="0" w:after="0"/>
      <w:ind w:left="-567" w:right="-766" w:hanging="0"/>
      <w:jc w:val="center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styleId="216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napToGrid w:val="false"/>
      <w:spacing w:lineRule="auto" w:line="240" w:before="240" w:after="120"/>
      <w:ind w:left="1134" w:hanging="1134"/>
      <w:outlineLvl w:val="2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15" w:customStyle="1">
    <w:name w:val="Оглавление 31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Style41" w:customStyle="1">
    <w:name w:val="Раздел регламент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42" w:customStyle="1">
    <w:name w:val="Приложение к регламенту"/>
    <w:basedOn w:val="Normal"/>
    <w:qFormat/>
    <w:pPr>
      <w:spacing w:lineRule="auto" w:line="240" w:before="0" w:after="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121" w:customStyle="1">
    <w:name w:val="Обычный (веб)1"/>
    <w:basedOn w:val="Normal"/>
    <w:qFormat/>
    <w:pPr>
      <w:spacing w:lineRule="auto" w:line="240"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1" w:customStyle="1">
    <w:name w:val="Оглавление 51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11" w:customStyle="1">
    <w:name w:val="Оглавление 41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217" w:customStyle="1">
    <w:name w:val="Раздел положения 2"/>
    <w:basedOn w:val="Normal"/>
    <w:qFormat/>
    <w:pPr>
      <w:pageBreakBefore/>
      <w:spacing w:lineRule="auto" w:line="240" w:before="0" w:after="0"/>
      <w:jc w:val="both"/>
      <w:outlineLvl w:val="0"/>
    </w:pPr>
    <w:rPr>
      <w:rFonts w:ascii="Times New Roman" w:hAnsi="Times New Roman" w:eastAsia="Times New Roman" w:cs="Times New Roman"/>
      <w:b/>
      <w:sz w:val="28"/>
      <w:szCs w:val="28"/>
    </w:rPr>
  </w:style>
  <w:style w:type="paragraph" w:styleId="Style43" w:customStyle="1">
    <w:name w:val="УРОВЕНЬ_(а)"/>
    <w:basedOn w:val="ListParagraph"/>
    <w:qFormat/>
    <w:pPr>
      <w:widowControl/>
      <w:numPr>
        <w:ilvl w:val="0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</w:rPr>
  </w:style>
  <w:style w:type="paragraph" w:styleId="-" w:customStyle="1">
    <w:name w:val="УРОВЕНЬ_-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  <w:outlineLvl w:val="4"/>
    </w:pPr>
    <w:rPr>
      <w:sz w:val="26"/>
      <w:szCs w:val="28"/>
    </w:rPr>
  </w:style>
  <w:style w:type="paragraph" w:styleId="218" w:customStyle="1">
    <w:name w:val="УРОВЕНЬ_Абзац_тип2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316" w:customStyle="1">
    <w:name w:val="УРОВЕНЬ_Абзац_тип3"/>
    <w:basedOn w:val="ListParagraph"/>
    <w:qFormat/>
    <w:pPr>
      <w:widowControl/>
      <w:tabs>
        <w:tab w:val="clear" w:pos="708"/>
        <w:tab w:val="left" w:pos="0" w:leader="none"/>
      </w:tabs>
      <w:spacing w:lineRule="exact" w:line="360" w:before="120" w:after="0"/>
      <w:ind w:left="1134" w:hanging="1134"/>
      <w:contextualSpacing w:val="false"/>
      <w:jc w:val="both"/>
    </w:pPr>
    <w:rPr>
      <w:sz w:val="26"/>
      <w:szCs w:val="28"/>
    </w:rPr>
  </w:style>
  <w:style w:type="paragraph" w:styleId="Style44" w:customStyle="1">
    <w:name w:val="УРОВЕНЬ_Подпись"/>
    <w:basedOn w:val="ListParagraph"/>
    <w:qFormat/>
    <w:pPr>
      <w:keepNext w:val="true"/>
      <w:widowControl/>
      <w:tabs>
        <w:tab w:val="clear" w:pos="708"/>
        <w:tab w:val="left" w:pos="0" w:leader="none"/>
      </w:tabs>
      <w:spacing w:lineRule="exact" w:line="360" w:before="120" w:after="120"/>
      <w:ind w:left="1134" w:hanging="1134"/>
      <w:contextualSpacing w:val="false"/>
      <w:jc w:val="right"/>
      <w:outlineLvl w:val="3"/>
    </w:pPr>
    <w:rPr>
      <w:sz w:val="26"/>
      <w:szCs w:val="28"/>
    </w:rPr>
  </w:style>
  <w:style w:type="paragraph" w:styleId="122" w:customStyle="1">
    <w:name w:val="Стиль Заголовок 1 + по ширине"/>
    <w:basedOn w:val="Heading1"/>
    <w:qFormat/>
    <w:pPr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cs="Arial"/>
      <w:color w:val="000000"/>
      <w:kern w:val="2"/>
      <w:sz w:val="40"/>
      <w:szCs w:val="20"/>
    </w:rPr>
  </w:style>
  <w:style w:type="paragraph" w:styleId="EndnoteText">
    <w:name w:val="End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219" w:customStyle="1">
    <w:name w:val="Заголовок 2 КВВ"/>
    <w:basedOn w:val="Normal"/>
    <w:qFormat/>
    <w:pPr>
      <w:keepNext w:val="true"/>
      <w:numPr>
        <w:ilvl w:val="0"/>
        <w:numId w:val="7"/>
      </w:numPr>
      <w:spacing w:lineRule="auto" w:line="240" w:before="120" w:after="120"/>
      <w:jc w:val="both"/>
      <w:outlineLvl w:val="0"/>
    </w:pPr>
    <w:rPr>
      <w:rFonts w:ascii="Times New Roman" w:hAnsi="Times New Roman" w:eastAsia="Times New Roman" w:cs="Times New Roman"/>
      <w:b/>
      <w:kern w:val="2"/>
      <w:sz w:val="24"/>
      <w:szCs w:val="20"/>
    </w:rPr>
  </w:style>
  <w:style w:type="paragraph" w:styleId="Style45" w:customStyle="1">
    <w:name w:val="Таблица текст"/>
    <w:basedOn w:val="Normal"/>
    <w:qFormat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</w:rPr>
  </w:style>
  <w:style w:type="paragraph" w:styleId="123" w:customStyle="1">
    <w:name w:val="УРОВЕНЬ_1."/>
    <w:basedOn w:val="ListParagraph"/>
    <w:qFormat/>
    <w:pPr>
      <w:keepNext w:val="true"/>
      <w:keepLines/>
      <w:widowControl/>
      <w:spacing w:before="240" w:after="120"/>
      <w:contextualSpacing w:val="false"/>
      <w:jc w:val="both"/>
      <w:outlineLvl w:val="0"/>
    </w:pPr>
    <w:rPr>
      <w:caps/>
      <w:sz w:val="28"/>
      <w:szCs w:val="28"/>
    </w:rPr>
  </w:style>
  <w:style w:type="paragraph" w:styleId="61" w:customStyle="1">
    <w:name w:val="Оглавление 61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1" w:customStyle="1">
    <w:name w:val="Оглавление 71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1" w:customStyle="1">
    <w:name w:val="Оглавление 81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321" w:customStyle="1">
    <w:name w:val="Оглавление 32"/>
    <w:basedOn w:val="Normal"/>
    <w:next w:val="Normal"/>
    <w:qFormat/>
    <w:pPr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92" w:customStyle="1">
    <w:name w:val="Оглавление 92"/>
    <w:basedOn w:val="Normal"/>
    <w:next w:val="Normal"/>
    <w:qFormat/>
    <w:pPr>
      <w:spacing w:lineRule="auto" w:line="240" w:before="0" w:after="0"/>
      <w:ind w:left="1960" w:hanging="0"/>
    </w:pPr>
    <w:rPr>
      <w:rFonts w:eastAsia="Times New Roman"/>
      <w:sz w:val="20"/>
      <w:szCs w:val="20"/>
    </w:rPr>
  </w:style>
  <w:style w:type="paragraph" w:styleId="52" w:customStyle="1">
    <w:name w:val="Оглавление 52"/>
    <w:basedOn w:val="Normal"/>
    <w:next w:val="Normal"/>
    <w:qFormat/>
    <w:pPr>
      <w:spacing w:lineRule="auto" w:line="240" w:before="0" w:after="0"/>
      <w:ind w:left="840" w:hanging="0"/>
    </w:pPr>
    <w:rPr>
      <w:rFonts w:eastAsia="Times New Roman"/>
      <w:sz w:val="20"/>
      <w:szCs w:val="20"/>
    </w:rPr>
  </w:style>
  <w:style w:type="paragraph" w:styleId="421" w:customStyle="1">
    <w:name w:val="Оглавление 42"/>
    <w:basedOn w:val="Normal"/>
    <w:next w:val="Normal"/>
    <w:qFormat/>
    <w:pPr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62" w:customStyle="1">
    <w:name w:val="Оглавление 62"/>
    <w:basedOn w:val="Normal"/>
    <w:next w:val="Normal"/>
    <w:qFormat/>
    <w:pPr>
      <w:spacing w:lineRule="auto" w:line="240" w:before="0" w:after="0"/>
      <w:ind w:left="1120" w:hanging="0"/>
    </w:pPr>
    <w:rPr>
      <w:rFonts w:eastAsia="Times New Roman"/>
      <w:sz w:val="20"/>
      <w:szCs w:val="20"/>
    </w:rPr>
  </w:style>
  <w:style w:type="paragraph" w:styleId="72" w:customStyle="1">
    <w:name w:val="Оглавление 72"/>
    <w:basedOn w:val="Normal"/>
    <w:next w:val="Normal"/>
    <w:qFormat/>
    <w:pPr>
      <w:spacing w:lineRule="auto" w:line="240" w:before="0" w:after="0"/>
      <w:ind w:left="1400" w:hanging="0"/>
    </w:pPr>
    <w:rPr>
      <w:rFonts w:eastAsia="Times New Roman"/>
      <w:sz w:val="20"/>
      <w:szCs w:val="20"/>
    </w:rPr>
  </w:style>
  <w:style w:type="paragraph" w:styleId="82" w:customStyle="1">
    <w:name w:val="Оглавление 82"/>
    <w:basedOn w:val="Normal"/>
    <w:next w:val="Normal"/>
    <w:qFormat/>
    <w:pPr>
      <w:spacing w:lineRule="auto" w:line="240" w:before="0" w:after="0"/>
      <w:ind w:left="1680" w:hanging="0"/>
    </w:pPr>
    <w:rPr>
      <w:rFonts w:eastAsia="Times New Roman"/>
      <w:sz w:val="20"/>
      <w:szCs w:val="20"/>
    </w:rPr>
  </w:style>
  <w:style w:type="paragraph" w:styleId="Style4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7" w:customStyle="1">
    <w:name w:val="Заголовок таблицы"/>
    <w:basedOn w:val="Style46"/>
    <w:qFormat/>
    <w:pPr>
      <w:jc w:val="center"/>
    </w:pPr>
    <w:rPr>
      <w:b/>
      <w:bCs/>
    </w:rPr>
  </w:style>
  <w:style w:type="paragraph" w:styleId="TOC4">
    <w:name w:val="TOC 4"/>
    <w:basedOn w:val="Normal"/>
    <w:next w:val="Normal"/>
    <w:pPr>
      <w:suppressAutoHyphens w:val="false"/>
      <w:spacing w:lineRule="auto" w:line="240" w:before="0" w:after="0"/>
      <w:ind w:left="560" w:hanging="0"/>
    </w:pPr>
    <w:rPr>
      <w:rFonts w:ascii="Times New Roman" w:hAnsi="Times New Roman" w:eastAsia="Times New Roman"/>
      <w:sz w:val="20"/>
      <w:szCs w:val="20"/>
    </w:rPr>
  </w:style>
  <w:style w:type="paragraph" w:styleId="TOC3">
    <w:name w:val="TOC 3"/>
    <w:basedOn w:val="Normal"/>
    <w:next w:val="Normal"/>
    <w:pPr>
      <w:suppressAutoHyphens w:val="false"/>
      <w:spacing w:lineRule="auto" w:line="240" w:before="0" w:after="0"/>
      <w:ind w:left="280" w:hanging="0"/>
    </w:pPr>
    <w:rPr>
      <w:rFonts w:ascii="Times New Roman" w:hAnsi="Times New Roman" w:eastAsia="Times New Roman"/>
      <w:sz w:val="20"/>
      <w:szCs w:val="20"/>
    </w:rPr>
  </w:style>
  <w:style w:type="paragraph" w:styleId="IndexHeading">
    <w:name w:val="Index Heading"/>
    <w:basedOn w:val="Style23"/>
    <w:pPr/>
    <w:rPr/>
  </w:style>
  <w:style w:type="paragraph" w:styleId="TOCHeading">
    <w:name w:val="TOC Heading"/>
    <w:basedOn w:val="Indexheading1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Application>AlterOffice/3.4.0.9$Linux_X86_64 LibreOffice_project/b8daf9e823b1a5463a2f48435ddc2e8696e7d4fc</Application>
  <AppVersion>15.0000</AppVersion>
  <Pages>18</Pages>
  <Words>2592</Words>
  <Characters>16074</Characters>
  <CharactersWithSpaces>17878</CharactersWithSpaces>
  <Paragraphs>800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2024-09-11T15:36:00Z</dcterms:created>
  <dc:creator>Торопов Денис Владимирович</dc:creator>
  <dc:description/>
  <dc:language>ru-RU</dc:language>
  <cp:lastModifiedBy>vasilevas@corp.gidroogk.com</cp:lastModifiedBy>
  <cp:lastPrinted>2025-06-05T13:30:00Z</cp:lastPrinted>
  <dcterms:modified xsi:type="dcterms:W3CDTF">2026-05-21T09:30:01Z</dcterms:modified>
  <cp:revision>51</cp:revision>
  <dc:subject/>
  <dc:title>Методические указания по разработке технических требований к закупаемой продукции, поставщикам и договорным условиям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