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УТВЕРЖДАЮ:</w:t>
      </w:r>
    </w:p>
    <w:p>
      <w:pPr>
        <w:pStyle w:val="Normal"/>
        <w:jc w:val="right"/>
        <w:rPr/>
      </w:pPr>
      <w:r>
        <w:rPr/>
        <w:t>Первый заместитель директора –</w:t>
      </w:r>
    </w:p>
    <w:p>
      <w:pPr>
        <w:pStyle w:val="Normal"/>
        <w:jc w:val="right"/>
        <w:rPr/>
      </w:pPr>
      <w:r>
        <w:rPr/>
        <w:t xml:space="preserve"> </w:t>
      </w:r>
      <w:r>
        <w:rPr/>
        <w:t>главный инженер</w:t>
      </w:r>
    </w:p>
    <w:p>
      <w:pPr>
        <w:pStyle w:val="Normal"/>
        <w:jc w:val="right"/>
        <w:rPr/>
      </w:pPr>
      <w:r>
        <w:rPr/>
        <w:t>________________Д.Н. Шелопугин</w:t>
      </w:r>
    </w:p>
    <w:p>
      <w:pPr>
        <w:pStyle w:val="Normal"/>
        <w:jc w:val="right"/>
        <w:rPr/>
      </w:pPr>
      <w:r>
        <w:rPr/>
        <w:t>«_____» ___________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bidi w:val="0"/>
        <w:jc w:val="center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ОКПД2 </w:t>
      </w:r>
      <w:r>
        <w:rPr>
          <w:rStyle w:val="Strong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szCs w:val="24"/>
          <w:u w:val="none"/>
          <w:em w:val="none"/>
        </w:rPr>
        <w:t xml:space="preserve">17.23.13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Поставка плакатов по охране труда/ безопасности 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филиала ПАО "РусГидро"-"Зейская ГЭС"</w:t>
      </w:r>
    </w:p>
    <w:p>
      <w:pPr>
        <w:pStyle w:val="Normal"/>
        <w:bidi w:val="0"/>
        <w:jc w:val="center"/>
        <w:rPr>
          <w:b w:val="false"/>
          <w:i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i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pPr>
      <w:r>
        <w:rPr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cstheme="minorBidi" w:eastAsiaTheme="minorEastAsia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75446568">
            <w:r>
              <w:rPr>
                <w:webHidden/>
                <w:rStyle w:val="Style11"/>
                <w:rFonts w:eastAsia="" w:cs="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cstheme="minorBidi" w:eastAsiaTheme="minorEastAsia"/>
                <w:vanish w:val="false"/>
              </w:rPr>
              <w:tab/>
            </w:r>
            <w:r>
              <w:rPr>
                <w:rStyle w:val="Style11"/>
                <w:rFonts w:eastAsia="" w:cs=""/>
                <w:vanish w:val="false"/>
                <w:color w:val="auto"/>
              </w:rPr>
              <w:t>Наименование закупаемой продукции</w:t>
            </w:r>
            <w:r>
              <w:rPr>
                <w:rStyle w:val="Style11"/>
                <w:rFonts w:eastAsia="" w:cs="" w:cstheme="minorBidi" w:eastAsiaTheme="minorEastAsia"/>
                <w:vanish w:val="false"/>
              </w:rPr>
              <w:tab/>
            </w:r>
          </w:hyperlink>
          <w:r>
            <w:rPr>
              <w:rFonts w:eastAsia="" w:cs="" w:cstheme="minorBidi" w:eastAsiaTheme="minorEastAsia"/>
              <w:vanish w:val="false"/>
            </w:rPr>
            <w:t>3</w:t>
          </w:r>
        </w:p>
        <w:p>
          <w:pPr>
            <w:pStyle w:val="TOC4"/>
            <w:rPr/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cstheme="minorBidi" w:eastAsiaTheme="minorEastAsia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  <w:r>
            <w:rPr/>
            <w:t xml:space="preserve">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поставки………………………………………………………….…..3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</w:rPr>
            <w:t>3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</w:rPr>
            <w:t>3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tbl>
      <w:tblPr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37"/>
        <w:gridCol w:w="6946"/>
      </w:tblGrid>
      <w:tr>
        <w:trPr>
          <w:cantSplit w:val="true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120" w:after="6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«Зейская ГЭС»</w:t>
            </w:r>
          </w:p>
        </w:tc>
      </w:tr>
      <w:tr>
        <w:trPr>
          <w:cantSplit w:val="true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РД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Руководящий документ</w:t>
            </w:r>
          </w:p>
        </w:tc>
      </w:tr>
    </w:tbl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Плакаты по охране труда/безопасности  (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2"/>
          <w:szCs w:val="22"/>
          <w:u w:val="none"/>
          <w:em w:val="none"/>
        </w:rPr>
        <w:t xml:space="preserve">ОКПД2 </w:t>
      </w:r>
      <w:r>
        <w:rPr>
          <w:rStyle w:val="Strong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2"/>
          <w:szCs w:val="22"/>
          <w:u w:val="none"/>
          <w:em w:val="none"/>
        </w:rPr>
        <w:t xml:space="preserve">17.23.13 — код 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2"/>
          <w:szCs w:val="22"/>
          <w:u w:val="none"/>
          <w:em w:val="none"/>
        </w:rPr>
        <w:t>товарно-материальных ценностей по охране труда, в том числе иллюстрированных плакатов и стендов, предназначенных для повседневных производственных нужд.) 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  <w:t>Целью является выполнение требований: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  <w:t>Оснащение кабинета и уголков охраны труда информационными и обучающими материалами с целью оказания помощи работодателям при организации работы/процесса обучения и информирования работников о требованиях охраны труда. С учетом Приказа Минтруда России от 17.12.2021 N 894 "Об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труда и охрану труда».</w:t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Начало срока поставки: с даты заключения договора</w:t>
      </w:r>
    </w:p>
    <w:p>
      <w:pPr>
        <w:pStyle w:val="Normal"/>
        <w:numPr>
          <w:ilvl w:val="2"/>
        </w:numPr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418" w:leader="none"/>
          <w:tab w:val="left" w:pos="2422" w:leader="none"/>
        </w:tabs>
        <w:ind w:left="0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Окончание: в течение 60 календарных дней с даты подписания Договора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75"/>
        <w:gridCol w:w="1"/>
        <w:gridCol w:w="2241"/>
        <w:gridCol w:w="34"/>
        <w:gridCol w:w="1666"/>
        <w:gridCol w:w="34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738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размер, комплектность  в соответствии с Приложением №1 к настоящим техническим требованиям</w:t>
            </w:r>
          </w:p>
        </w:tc>
        <w:tc>
          <w:tcPr>
            <w:tcW w:w="227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738" w:hRule="atLeast"/>
        </w:trPr>
        <w:tc>
          <w:tcPr>
            <w:tcW w:w="84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98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Основа плаката: Ламинированная бумага плотность не менее 140 гр/м2</w:t>
            </w:r>
          </w:p>
        </w:tc>
        <w:tc>
          <w:tcPr>
            <w:tcW w:w="227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71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</w:tc>
        <w:tc>
          <w:tcPr>
            <w:tcW w:w="22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71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36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3.1.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 требуется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Дата изготовления плакатов должна быть не ранее 01.03.2026</w:t>
            </w:r>
          </w:p>
        </w:tc>
        <w:tc>
          <w:tcPr>
            <w:tcW w:w="227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Поставляемые Плакаты должны соответствовать действующим на момент поставки Правилам охраны труда и содержать актуальные требования безопасности</w:t>
            </w:r>
          </w:p>
        </w:tc>
        <w:tc>
          <w:tcPr>
            <w:tcW w:w="227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4.3.</w:t>
            </w:r>
          </w:p>
        </w:tc>
        <w:tc>
          <w:tcPr>
            <w:tcW w:w="49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4.4.</w:t>
            </w:r>
          </w:p>
        </w:tc>
        <w:tc>
          <w:tcPr>
            <w:tcW w:w="498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Транспортируемые Плакаты должны быть сложены, упакованы.</w:t>
            </w:r>
          </w:p>
        </w:tc>
        <w:tc>
          <w:tcPr>
            <w:tcW w:w="227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4.5.</w:t>
            </w:r>
          </w:p>
        </w:tc>
        <w:tc>
          <w:tcPr>
            <w:tcW w:w="4989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наименованиям плакатов допускаются аналоги, не противоречащие заявленной тематике</w:t>
            </w:r>
          </w:p>
        </w:tc>
        <w:tc>
          <w:tcPr>
            <w:tcW w:w="227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120" w:after="60"/>
        <w:ind w:left="567" w:hanging="567"/>
        <w:jc w:val="right"/>
        <w:rPr/>
      </w:pPr>
      <w:r>
        <w:rPr>
          <w:sz w:val="24"/>
          <w:szCs w:val="24"/>
        </w:rPr>
        <w:t>Приложение №1 к Техническим требованиям</w:t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Поставка плакатов по охране труда/ безопасности </w:t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филиала ПАО "РусГидро"-"Зейская ГЭС"</w:t>
      </w:r>
    </w:p>
    <w:p>
      <w:pPr>
        <w:pStyle w:val="Normal"/>
        <w:spacing w:before="120" w:after="60"/>
        <w:ind w:left="567" w:hanging="567"/>
        <w:jc w:val="right"/>
        <w:rPr/>
      </w:pPr>
      <w:r>
        <w:rPr/>
      </w:r>
    </w:p>
    <w:p>
      <w:pPr>
        <w:pStyle w:val="Normal"/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tbl>
      <w:tblPr>
        <w:tblW w:w="5000" w:type="pct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25"/>
        <w:gridCol w:w="1188"/>
        <w:gridCol w:w="626"/>
        <w:gridCol w:w="715"/>
      </w:tblGrid>
      <w:tr>
        <w:trPr>
          <w:trHeight w:val="552" w:hRule="atLeast"/>
        </w:trPr>
        <w:tc>
          <w:tcPr>
            <w:tcW w:w="6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плаката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</w:p>
        </w:tc>
      </w:tr>
      <w:tr>
        <w:trPr>
          <w:trHeight w:val="256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Охрана труда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А3</w:t>
            </w:r>
          </w:p>
        </w:tc>
      </w:tr>
      <w:tr>
        <w:trPr>
          <w:trHeight w:val="580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труда/безопасность при работе на высоте (средства подмащивания, средства ограждений, отдельные виды работ)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trHeight w:val="53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труда/безопасность за компьютером (организация рабочего места, перерывы, гимнастика)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1033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труда/безопасность при металлообработке (общие меры безопасности,безопасность при работе со станками токарной группы, сверлильной группы, фрезерной группы, шлифовальной и заточной групп)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575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труда/Безопасность при проведении окрасочных/малярных работ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3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труда/Безопасность работ в ограниченных и замкнутых пространствах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труда/Безопасность труда в химической лаборатории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Плакат о вреде курения (например: Никотиновая зависимость — это болезнь)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880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труда/Безопасность труда при деревообработке/стенд (охрана труда при пилении и строгании древесины, при долблении и сверлении, фрезеровании и шлифовании)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32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труда/Безопасность при работе ручным инструментом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34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Расследование несчастных случаев на производстве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53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труда/Безопасность при работе с переносным электроинструментом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trHeight w:val="280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защиты в электроустановках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34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Электробезопасность при напряжении до 1000 В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trHeight w:val="56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Заземление и защитные меры электробезопасности (напряжение до 1000 В)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313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Аккумуляторные помещения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 при грузоподъемных работах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34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труда/безопасность при проведении сварочных работ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оказания первой помощи на производстве (комплект)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>
          <w:trHeight w:val="34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 при проведении погрузо-разгрузочных работ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34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труда/безопасность работ в складских помещениях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53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Плакат Инструктаж по электробезопасности на I-ю квалификационную группу для неэлектротехнического персонала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53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труда/безопасность при проведении испытаний электрооборудования на стенде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13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Пожарная и промышленная безопасность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76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Пожарная безопасность (общие требования, первичные средства пожаротушения, меры безопасности при проведении огневых работ)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Сосуда, работающие под избыточным давлением, воздухосборники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597" w:hRule="atLeast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промышленной безопасности при использовании грузоподъемных машин и механизмов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>
      <w:pPr>
        <w:pStyle w:val="Normal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29097951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6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7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8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Revision">
    <w:name w:val="Revision"/>
    <w:uiPriority w:val="99"/>
    <w:semiHidden/>
    <w:qFormat/>
    <w:rsid w:val="0016329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5006-0BFC-41E3-AB03-77228A24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AlterOffice/3.4.0.9$Linux_X86_64 LibreOffice_project/b8daf9e823b1a5463a2f48435ddc2e8696e7d4fc</Application>
  <AppVersion>15.0000</AppVersion>
  <Pages>6</Pages>
  <Words>931</Words>
  <Characters>6403</Characters>
  <CharactersWithSpaces>7125</CharactersWithSpaces>
  <Paragraphs>231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2024-04-24T06:55:00Z</dcterms:created>
  <dc:creator>Смирнов Константин Русланович</dc:creator>
  <dc:description/>
  <dc:language>ru-RU</dc:language>
  <cp:lastModifiedBy>rossihinasv@corp.gidroogk.com</cp:lastModifiedBy>
  <cp:lastPrinted>2023-01-12T00:12:00Z</cp:lastPrinted>
  <dcterms:modified xsi:type="dcterms:W3CDTF">2026-05-22T09:01:42Z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