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25.12.10.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19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0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Поставка противопожаоной двери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противопожарной двери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«01» июня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1274"/>
        <w:gridCol w:w="1018"/>
        <w:gridCol w:w="1422"/>
        <w:gridCol w:w="1248"/>
        <w:gridCol w:w="26"/>
        <w:gridCol w:w="2241"/>
        <w:gridCol w:w="38"/>
        <w:gridCol w:w="1662"/>
        <w:gridCol w:w="38"/>
        <w:gridCol w:w="1"/>
      </w:tblGrid>
      <w:tr>
        <w:trPr/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2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8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2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29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29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62795062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Application>AlterOffice/3.4.0.9$Linux_X86_64 LibreOffice_project/b8daf9e823b1a5463a2f48435ddc2e8696e7d4fc</Application>
  <AppVersion>15.0000</AppVersion>
  <Pages>5</Pages>
  <Words>522</Words>
  <Characters>3490</Characters>
  <CharactersWithSpaces>3926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2026-05-22T09:14:10Z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