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color w:val="000000"/>
          <w:sz w:val="24"/>
          <w:szCs w:val="24"/>
        </w:rPr>
        <w:t>Акционерное общество «Транспортная компания РусГидро» (АО «ТК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мотовездеход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Саяно-Шушенского филиала АО «ТК РусГидро»</w:t>
      </w:r>
      <w:r>
        <w:rPr>
          <w:bCs/>
          <w:sz w:val="24"/>
          <w:szCs w:val="24"/>
          <w:highlight w:val="lightGray"/>
        </w:rPr>
        <w:t>.</w:t>
      </w:r>
    </w:p>
    <w:p>
      <w:pPr>
        <w:pStyle w:val="Normal"/>
        <w:numPr>
          <w:ilvl w:val="0"/>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rPr>
        <w:t>склад поставщика г.</w:t>
      </w:r>
      <w:r>
        <w:rPr>
          <w:rFonts w:eastAsia="Times New Roman" w:cs="Times New Roman"/>
          <w:color w:val="auto"/>
          <w:kern w:val="0"/>
          <w:sz w:val="24"/>
          <w:szCs w:val="24"/>
          <w:highlight w:val="lightGray"/>
          <w:lang w:val="ru-RU" w:eastAsia="ru-RU" w:bidi="ar-SA"/>
        </w:rPr>
        <w:t>________</w:t>
      </w:r>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w:t>
      </w:r>
      <w:r>
        <w:rPr>
          <w:bCs/>
          <w:sz w:val="24"/>
          <w:szCs w:val="24"/>
          <w:highlight w:val="lightGray"/>
        </w:rPr>
        <w:t>0</w:t>
      </w:r>
      <w:r>
        <w:rPr>
          <w:bCs/>
          <w:sz w:val="24"/>
          <w:szCs w:val="24"/>
          <w:highlight w:val="lightGray"/>
        </w:rPr>
        <w:t xml:space="preserve">1» </w:t>
      </w:r>
      <w:r>
        <w:rPr>
          <w:bCs/>
          <w:sz w:val="24"/>
          <w:szCs w:val="24"/>
          <w:highlight w:val="lightGray"/>
        </w:rPr>
        <w:t>октября</w:t>
      </w:r>
      <w:r>
        <w:rPr>
          <w:bCs/>
          <w:sz w:val="24"/>
          <w:szCs w:val="24"/>
          <w:highlight w:val="lightGray"/>
        </w:rPr>
        <w:t xml:space="preserve"> 2026</w:t>
      </w:r>
      <w:r>
        <w:rPr>
          <w:bCs/>
          <w:sz w:val="24"/>
          <w:szCs w:val="24"/>
        </w:rPr>
        <w:t xml:space="preserve"> г.</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0"/>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предельной / твердой</w:t>
      </w:r>
      <w:r>
        <w:rPr>
          <w:rStyle w:val="FootnoteReference"/>
          <w:bCs/>
          <w:sz w:val="24"/>
          <w:szCs w:val="24"/>
          <w:highlight w:val="lightGray"/>
        </w:rPr>
        <w:footnoteReference w:id="2"/>
      </w:r>
      <w:r>
        <w:rPr>
          <w:bCs/>
          <w:sz w:val="24"/>
          <w:szCs w:val="24"/>
        </w:rPr>
        <w:t xml:space="preserve"> и составляет </w:t>
      </w:r>
      <w:r>
        <w:rPr>
          <w:rFonts w:eastAsia="Times New Roman" w:cs="Times New Roman"/>
          <w:color w:val="auto"/>
          <w:kern w:val="0"/>
          <w:sz w:val="24"/>
          <w:szCs w:val="24"/>
          <w:highlight w:val="lightGray"/>
          <w:lang w:val="ru-RU" w:eastAsia="ru-RU" w:bidi="ar-SA"/>
        </w:rPr>
        <w:t>____________</w:t>
      </w:r>
      <w:r>
        <w:rPr>
          <w:bCs/>
          <w:sz w:val="24"/>
          <w:szCs w:val="24"/>
          <w:shd w:fill="auto" w:val="clear"/>
        </w:rPr>
        <w:t xml:space="preserve"> </w:t>
      </w:r>
      <w:r>
        <w:rPr>
          <w:bCs/>
          <w:sz w:val="24"/>
          <w:szCs w:val="24"/>
        </w:rPr>
        <w:t>(</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32"/>
          <w:szCs w:val="24"/>
        </w:rPr>
      </w:pPr>
      <w:r>
        <w:rPr>
          <w:sz w:val="24"/>
        </w:rPr>
        <w:t xml:space="preserve">Авансовые платежи за каждую партию Товара в размере </w:t>
      </w:r>
      <w:r>
        <w:rPr>
          <w:sz w:val="24"/>
        </w:rPr>
        <w:t>________</w:t>
      </w:r>
      <w:r>
        <w:rPr>
          <w:sz w:val="24"/>
        </w:rPr>
        <w:t xml:space="preserve"> (</w:t>
      </w:r>
      <w:r>
        <w:rPr>
          <w:sz w:val="24"/>
        </w:rPr>
        <w:t>______________________)</w:t>
      </w:r>
      <w:r>
        <w:rPr>
          <w:sz w:val="24"/>
        </w:rPr>
        <w:t xml:space="preserve"> </w:t>
      </w:r>
      <w:r>
        <w:rPr>
          <w:bCs/>
          <w:sz w:val="24"/>
          <w:szCs w:val="24"/>
        </w:rPr>
        <w:t>без учета НДС, при этом НДС исчисляется дополнительно по ставке, установленной ст. 164 Налогового Кодекса РФ.</w:t>
      </w:r>
      <w:r>
        <w:rPr>
          <w:sz w:val="24"/>
        </w:rPr>
        <w:t xml:space="preserve">  процентов от стоимости соответствующей партии Товара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 Договора.</w:t>
      </w:r>
    </w:p>
    <w:p>
      <w:pPr>
        <w:pStyle w:val="ListParagraph"/>
        <w:numPr>
          <w:ilvl w:val="2"/>
          <w:numId w:val="2"/>
        </w:numPr>
        <w:ind w:left="0" w:firstLine="709"/>
        <w:jc w:val="both"/>
        <w:rPr>
          <w:sz w:val="24"/>
        </w:rPr>
      </w:pPr>
      <w:r>
        <w:rPr>
          <w:sz w:val="24"/>
        </w:rPr>
        <w:t>Последующие платежи в размере 90 % (девяносто процентов) от стоимости партии Товара</w:t>
      </w:r>
      <w:r>
        <w:rPr>
          <w:rStyle w:val="FootnoteReference"/>
          <w:sz w:val="24"/>
        </w:rPr>
        <w:footnoteReference w:id="4"/>
      </w:r>
      <w:r>
        <w:rPr>
          <w:sz w:val="24"/>
        </w:rPr>
        <w:t xml:space="preserve"> выплачиваются Поставщику в течение </w:t>
      </w:r>
      <w:r>
        <w:rPr>
          <w:sz w:val="24"/>
          <w:highlight w:val="lightGray"/>
        </w:rPr>
        <w:t xml:space="preserve"> </w:t>
      </w:r>
      <w:r>
        <w:rPr>
          <w:sz w:val="24"/>
          <w:shd w:fill="auto" w:val="clear"/>
        </w:rPr>
        <w:t xml:space="preserve">7 (семи) рабочих дней </w:t>
      </w:r>
      <w:r>
        <w:rPr>
          <w:sz w:val="24"/>
        </w:rPr>
        <w:t>с даты подписания Сторонами накладной ТОРГ-12,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 xml:space="preserve">Датой поставки партии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5"/>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6"/>
      </w:r>
      <w:r>
        <w:rPr>
          <w:sz w:val="24"/>
          <w:szCs w:val="24"/>
          <w:highlight w:val="lightGray"/>
        </w:rPr>
        <w:t>.</w:t>
      </w:r>
    </w:p>
    <w:p>
      <w:pPr>
        <w:pStyle w:val="ListParagraph"/>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7"/>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8"/>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9"/>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ind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color w:val="000000"/>
                <w:sz w:val="24"/>
                <w:szCs w:val="24"/>
              </w:rPr>
              <w:t>Акционерное общество «Транспортная компания РусГидро» (АО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bCs/>
                <w:color w:val="000000"/>
                <w:sz w:val="24"/>
                <w:szCs w:val="24"/>
                <w:lang w:eastAsia="en-US"/>
              </w:rPr>
              <w:t xml:space="preserve">655619, Республика Хакасия, город Саяногорск, рабочий поселок Черемушки, </w:t>
            </w:r>
            <w:r>
              <w:rPr>
                <w:bCs/>
                <w:color w:val="000000"/>
                <w:sz w:val="24"/>
                <w:szCs w:val="24"/>
                <w:lang w:eastAsia="en-US"/>
              </w:rPr>
              <w:t>стр</w:t>
            </w:r>
            <w:r>
              <w:rPr>
                <w:bCs/>
                <w:color w:val="000000"/>
                <w:sz w:val="24"/>
                <w:szCs w:val="24"/>
                <w:lang w:eastAsia="en-US"/>
              </w:rPr>
              <w:t>.101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lang w:eastAsia="en-US"/>
              </w:rPr>
              <w:t>690003, Россия, Приморский край.,                          г. Владивосток, ул. Станюковича д.</w:t>
            </w:r>
            <w:bookmarkStart w:id="12" w:name="_GoBack1"/>
            <w:bookmarkEnd w:id="12"/>
            <w:r>
              <w:rPr>
                <w:sz w:val="24"/>
                <w:szCs w:val="24"/>
                <w:lang w:eastAsia="en-US"/>
              </w:rPr>
              <w:t>1</w:t>
            </w:r>
            <w:r>
              <w:rPr>
                <w:sz w:val="24"/>
                <w:szCs w:val="24"/>
              </w:rPr>
              <w:t>________________________</w:t>
            </w:r>
          </w:p>
          <w:p>
            <w:pPr>
              <w:pStyle w:val="Normal"/>
              <w:widowControl w:val="false"/>
              <w:rPr>
                <w:sz w:val="24"/>
                <w:szCs w:val="24"/>
              </w:rPr>
            </w:pPr>
            <w:r>
              <w:rPr>
                <w:sz w:val="24"/>
                <w:szCs w:val="24"/>
              </w:rPr>
              <w:t xml:space="preserve">ОГРН </w:t>
            </w:r>
            <w:r>
              <w:rPr>
                <w:sz w:val="24"/>
                <w:szCs w:val="24"/>
                <w:lang w:eastAsia="en-US"/>
              </w:rPr>
              <w:t>1031900676356</w:t>
            </w:r>
            <w:r>
              <w:rPr>
                <w:sz w:val="24"/>
                <w:szCs w:val="24"/>
              </w:rPr>
              <w:t xml:space="preserve">, </w:t>
            </w:r>
          </w:p>
          <w:p>
            <w:pPr>
              <w:pStyle w:val="Normal"/>
              <w:widowControl w:val="false"/>
              <w:rPr>
                <w:sz w:val="24"/>
                <w:szCs w:val="24"/>
              </w:rPr>
            </w:pPr>
            <w:r>
              <w:rPr>
                <w:sz w:val="24"/>
                <w:szCs w:val="24"/>
              </w:rPr>
              <w:t xml:space="preserve">ИНН </w:t>
            </w:r>
            <w:r>
              <w:rPr>
                <w:sz w:val="24"/>
                <w:szCs w:val="24"/>
                <w:lang w:eastAsia="en-US"/>
              </w:rPr>
              <w:t>1902018248</w:t>
            </w:r>
            <w:r>
              <w:rPr>
                <w:sz w:val="24"/>
                <w:szCs w:val="24"/>
              </w:rPr>
              <w:t xml:space="preserve"> / КПП </w:t>
            </w:r>
            <w:r>
              <w:rPr>
                <w:sz w:val="24"/>
                <w:szCs w:val="24"/>
                <w:lang w:eastAsia="en-US"/>
              </w:rPr>
              <w:t>190201001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2"/>
        <w:gridCol w:w="392"/>
        <w:gridCol w:w="602"/>
        <w:gridCol w:w="610"/>
        <w:gridCol w:w="613"/>
        <w:gridCol w:w="775"/>
        <w:gridCol w:w="725"/>
        <w:gridCol w:w="625"/>
        <w:gridCol w:w="731"/>
        <w:gridCol w:w="691"/>
        <w:gridCol w:w="516"/>
        <w:gridCol w:w="647"/>
        <w:gridCol w:w="551"/>
        <w:gridCol w:w="515"/>
        <w:gridCol w:w="716"/>
        <w:gridCol w:w="473"/>
      </w:tblGrid>
      <w:tr>
        <w:trPr>
          <w:trHeight w:val="526" w:hRule="atLeast"/>
        </w:trPr>
        <w:tc>
          <w:tcPr>
            <w:tcW w:w="4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0"/>
            </w:r>
          </w:p>
        </w:tc>
        <w:tc>
          <w:tcPr>
            <w:tcW w:w="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1"/>
            </w:r>
          </w:p>
          <w:p>
            <w:pPr>
              <w:pStyle w:val="Normal"/>
              <w:widowControl w:val="false"/>
              <w:jc w:val="center"/>
              <w:rPr>
                <w:bCs/>
              </w:rPr>
            </w:pPr>
            <w:r>
              <w:rPr>
                <w:bCs/>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5"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5"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45"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pPr>
    </w:p>
    <w:p>
      <w:pPr>
        <w:pStyle w:val="Normal"/>
        <w:ind w:left="5103" w:right="96" w:firstLine="5103"/>
        <w:rPr>
          <w:sz w:val="22"/>
          <w:szCs w:val="22"/>
        </w:rPr>
      </w:pPr>
      <w:r>
        <w:rPr>
          <w:sz w:val="22"/>
          <w:szCs w:val="22"/>
        </w:rPr>
        <w:t>Приложение № 3</w:t>
      </w:r>
    </w:p>
    <w:p>
      <w:pPr>
        <w:pStyle w:val="Normal"/>
        <w:ind w:right="96" w:firstLine="5103"/>
        <w:rPr>
          <w:sz w:val="22"/>
          <w:szCs w:val="22"/>
        </w:rPr>
      </w:pPr>
      <w:r>
        <w:rPr>
          <w:sz w:val="22"/>
          <w:szCs w:val="22"/>
        </w:rPr>
        <w:t>к Договору поставки</w:t>
      </w:r>
    </w:p>
    <w:p>
      <w:pPr>
        <w:pStyle w:val="Normal"/>
        <w:ind w:right="96" w:firstLine="5103"/>
        <w:rPr>
          <w:sz w:val="22"/>
          <w:szCs w:val="22"/>
        </w:rPr>
      </w:pPr>
      <w:r>
        <w:rPr>
          <w:sz w:val="22"/>
          <w:szCs w:val="22"/>
        </w:rPr>
        <w:t>от «____» __________ 20 _ г. № ____</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1834"/>
        <w:gridCol w:w="1849"/>
        <w:gridCol w:w="1843"/>
        <w:gridCol w:w="1140"/>
        <w:gridCol w:w="1196"/>
        <w:gridCol w:w="1349"/>
      </w:tblGrid>
      <w:tr>
        <w:trPr>
          <w:trHeight w:val="1150"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 </w:t>
            </w:r>
            <w:r>
              <w:rPr/>
              <w:t xml:space="preserve">партии </w:t>
            </w:r>
          </w:p>
        </w:tc>
        <w:tc>
          <w:tcPr>
            <w:tcW w:w="1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Наименование Товара (партии Товара)</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Обоснование стоимости, пункт Спецификации </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Дата поставки Товара</w:t>
            </w:r>
          </w:p>
          <w:p>
            <w:pPr>
              <w:pStyle w:val="Normal"/>
              <w:widowControl w:val="false"/>
              <w:jc w:val="center"/>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Сумма НДС (___%), руб.</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Стоимость партии, руб. с НДС</w:t>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6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4</w:t>
      </w:r>
    </w:p>
    <w:p>
      <w:pPr>
        <w:pStyle w:val="Normal"/>
        <w:ind w:right="96" w:firstLine="5103"/>
        <w:rPr>
          <w:sz w:val="22"/>
          <w:szCs w:val="22"/>
        </w:rPr>
      </w:pPr>
      <w:r>
        <w:rPr>
          <w:sz w:val="22"/>
          <w:szCs w:val="22"/>
        </w:rPr>
        <w:t>к Договору поставки</w:t>
      </w:r>
    </w:p>
    <w:p>
      <w:pPr>
        <w:pStyle w:val="Normal"/>
        <w:ind w:firstLine="5103"/>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(далее – Методика 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Обществом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16"/>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17"/>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5</w:t>
      </w:r>
    </w:p>
    <w:p>
      <w:pPr>
        <w:pStyle w:val="Normal"/>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27</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r>
    </w:p>
  </w:footnote>
  <w:footnote w:id="4">
    <w:p>
      <w:pPr>
        <w:pStyle w:val="FootnoteText"/>
        <w:jc w:val="both"/>
        <w:rPr/>
      </w:pPr>
      <w:r>
        <w:rPr>
          <w:rStyle w:val="Style14"/>
        </w:rPr>
        <w:footnoteRef/>
      </w:r>
      <w:r>
        <w:rPr/>
      </w:r>
    </w:p>
  </w:footnote>
  <w:footnote w:id="5">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6">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7">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8">
    <w:p>
      <w:pPr>
        <w:pStyle w:val="FootnoteText"/>
        <w:jc w:val="both"/>
        <w:rPr/>
      </w:pPr>
      <w:r>
        <w:rPr>
          <w:rStyle w:val="Style14"/>
        </w:rPr>
        <w:footnoteRef/>
      </w:r>
      <w:r>
        <w:rPr/>
        <w:t xml:space="preserve"> </w:t>
      </w:r>
      <w:r>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9">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1">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Общества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/6</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lang w:eastAsia="x-none"/>
        </w:rPr>
        <w:t xml:space="preserve"> </w:t>
      </w:r>
      <w:r>
        <w:rPr>
          <w:lang w:eastAsia="x-none"/>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2.2.1.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style>
  <w:style w:type="character" w:styleId="FootnoteReference">
    <w:name w:val="Footnote Reference"/>
    <w:rPr>
      <w:vertAlign w:val="superscript"/>
    </w:rPr>
  </w:style>
  <w:style w:type="character" w:styleId="FootnoteCharacters" w:customStyle="1">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customStyle="1">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58BE56-CBDE-46CF-862E-3B489825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AlterOffice/3.4.0.9$Linux_X86_64 LibreOffice_project/b8daf9e823b1a5463a2f48435ddc2e8696e7d4fc</Application>
  <AppVersion>15.0000</AppVersion>
  <DocSecurity>4</DocSecurity>
  <Pages>27</Pages>
  <Words>9190</Words>
  <Characters>65695</Characters>
  <CharactersWithSpaces>74510</CharactersWithSpaces>
  <Paragraphs>455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2024-03-18T00:42:00Z</dcterms:created>
  <dc:creator>tsypilev_ag</dc:creator>
  <dc:description/>
  <dc:language>ru-RU</dc:language>
  <cp:lastModifiedBy>azarines@corp.gidroogk.com</cp:lastModifiedBy>
  <cp:lastPrinted>2018-05-22T09:46:00Z</cp:lastPrinted>
  <dcterms:modified xsi:type="dcterms:W3CDTF">2026-05-22T11:05:00Z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