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3810" distL="0" distR="0" simplePos="0" locked="0" layoutInCell="0" allowOverlap="1" relativeHeight="3">
                <wp:simplePos x="0" y="0"/>
                <wp:positionH relativeFrom="column">
                  <wp:posOffset>1228725</wp:posOffset>
                </wp:positionH>
                <wp:positionV relativeFrom="paragraph">
                  <wp:posOffset>-66675</wp:posOffset>
                </wp:positionV>
                <wp:extent cx="5017135" cy="1814195"/>
                <wp:effectExtent l="0" t="0" r="0" b="4445"/>
                <wp:wrapNone/>
                <wp:docPr id="1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960" cy="181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ind w:left="2410" w:firstLine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stroked="f" o:allowincell="f" style="position:absolute;margin-left:96.75pt;margin-top:-5.25pt;width:395pt;height:142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3"/>
                        <w:ind w:left="2410" w:firstLine="142"/>
                        <w:jc w:val="right"/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</w:rPr>
        <w:t>Технические требования на выполнение работ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  <w:t>«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/>
        </w:rPr>
        <w:t xml:space="preserve">Определение компонентного состава отходов для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ru-RU"/>
        </w:rPr>
        <w:t>нужд Филиала                                 ПАО «РусГидро»-«Камская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TOC1"/>
        <w:tabs>
          <w:tab w:val="clear" w:pos="720"/>
          <w:tab w:val="right" w:pos="9921" w:leader="dot"/>
        </w:tabs>
        <w:rPr>
          <w:rStyle w:val="Style14"/>
          <w:b w:val="false"/>
          <w:i w:val="false"/>
          <w:i w:val="false"/>
          <w:shd w:fill="auto" w:val="clear"/>
        </w:rPr>
      </w:pPr>
      <w:r>
        <w:rPr>
          <w:b w:val="false"/>
          <w:i w:val="false"/>
          <w:shd w:fill="auto" w:val="clear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C9211E"/>
        </w:rPr>
      </w:pPr>
      <w:r>
        <w:rPr>
          <w:rFonts w:eastAsia="Calibri"/>
          <w:b/>
          <w:i/>
          <w:color w:val="C9211E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OC1"/>
        <w:tabs>
          <w:tab w:val="clear" w:pos="720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/>
        <w:t>г. Пермь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  <w:t>2026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33109_42834593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51_428345931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1_428345931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3_428345931">
            <w:r>
              <w:rPr>
                <w:rStyle w:val="Style14"/>
              </w:rPr>
              <w:t xml:space="preserve">1.3. Цель выполнения работ: 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5_428345931">
            <w:r>
              <w:rPr>
                <w:rStyle w:val="Style14"/>
              </w:rPr>
              <w:t xml:space="preserve">1.4. Существующее положение 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rPr/>
            <w:t>Таблица 1. Перечень объектов заказчика</w:t>
            <w:tab/>
            <w:t>4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9_428345931">
            <w:r>
              <w:rPr>
                <w:rStyle w:val="Style1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31_428345931">
            <w:r>
              <w:rPr>
                <w:rStyle w:val="Style14"/>
              </w:rPr>
              <w:t>1.6. Иные требования и сведения общего характера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35_42834593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37_428345931">
            <w:r>
              <w:rPr>
                <w:rStyle w:val="Style14"/>
              </w:rPr>
              <w:t>2.1. Требования к объемам и срокам выполнения работ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33139_428345931">
            <w:r>
              <w:rPr>
                <w:rStyle w:val="Style14"/>
              </w:rPr>
              <w:t>2.1.1. Требования к видам и объемам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41_428345931">
            <w:r>
              <w:rPr>
                <w:rStyle w:val="Style14"/>
              </w:rPr>
              <w:t>Таблица 2. Перечень и объем выполняемых работ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33143_428345931">
            <w:r>
              <w:rPr>
                <w:rStyle w:val="Style14"/>
              </w:rPr>
              <w:t>2.1.2. Требования к срокам выполнения работ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45_428345931">
            <w:r>
              <w:rPr>
                <w:rStyle w:val="Style14"/>
              </w:rPr>
              <w:t>Таблица 3. Требования по срокам выполнения работ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47_428345931">
            <w:r>
              <w:rPr>
                <w:rStyle w:val="Style14"/>
              </w:rPr>
              <w:t>2.2. Требования к качеству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49_428345931">
            <w:r>
              <w:rPr>
                <w:rStyle w:val="Style14"/>
              </w:rPr>
              <w:t>Таблица 4. Требования к качеству работ</w:t>
              <w:tab/>
            </w:r>
          </w:hyperlink>
          <w:r>
            <w:rPr/>
            <w:t>6</w:t>
          </w:r>
          <w:r>
            <w:rPr/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_RefHeading___Toc33109_428345931"/>
      <w:bookmarkStart w:id="3" w:name="_Toc51339692"/>
      <w:bookmarkStart w:id="4" w:name="_Toc54646395"/>
      <w:bookmarkEnd w:id="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_RefHeading___Toc33151_428345931"/>
      <w:bookmarkStart w:id="6" w:name="_Toc54646396"/>
      <w:bookmarkStart w:id="7" w:name="_Toc46743505"/>
      <w:bookmarkEnd w:id="5"/>
      <w:r>
        <w:rPr/>
        <w:t>Обозначения и сокращения</w:t>
      </w:r>
      <w:bookmarkEnd w:id="6"/>
      <w:bookmarkEnd w:id="7"/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7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50"/>
        <w:gridCol w:w="7628"/>
      </w:tblGrid>
      <w:tr>
        <w:trPr>
          <w:cantSplit w:val="true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  <w:lang w:eastAsia="x-none"/>
              </w:rPr>
              <w:t>О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руководящий документ</w:t>
            </w:r>
          </w:p>
        </w:tc>
      </w:tr>
      <w:tr>
        <w:trPr>
          <w:trHeight w:val="635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СанПиН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санитарно-эпидемиологические правила и нормативы</w:t>
            </w:r>
          </w:p>
        </w:tc>
      </w:tr>
      <w:tr>
        <w:trPr>
          <w:trHeight w:val="562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trHeight w:val="516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ПТС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Производственно-техническая служба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  <w:br/>
      </w:r>
      <w:r>
        <w:br w:type="page"/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8" w:name="__RefHeading___Toc33121_428345931"/>
      <w:bookmarkStart w:id="9" w:name="_Toc46743506"/>
      <w:bookmarkStart w:id="10" w:name="_Toc54646397"/>
      <w:bookmarkEnd w:id="8"/>
      <w:r>
        <w:rPr>
          <w:sz w:val="24"/>
          <w:szCs w:val="24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hanging="0"/>
        <w:jc w:val="both"/>
        <w:outlineLvl w:val="0"/>
        <w:rPr/>
      </w:pPr>
      <w:r>
        <w:rPr>
          <w:rStyle w:val="Style8"/>
          <w:rFonts w:eastAsia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  <w:shd w:fill="auto" w:val="clear"/>
          <w:lang w:val="en-US" w:eastAsia="ru-RU"/>
        </w:rPr>
        <w:tab/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Определение компонентного состава отходов для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нужд Филиала ПАО «РусГидро»-«Камская ГЭС» (далее - Филиал).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hanging="0"/>
        <w:jc w:val="both"/>
        <w:outlineLvl w:val="0"/>
        <w:rPr>
          <w:rStyle w:val="Style8"/>
          <w:rFonts w:eastAsia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ru-RU"/>
        </w:rPr>
      </w:pPr>
      <w:r>
        <w:rPr>
          <w:rFonts w:eastAsia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ru-RU"/>
        </w:rPr>
      </w:r>
    </w:p>
    <w:p>
      <w:pPr>
        <w:pStyle w:val="Heading4"/>
        <w:numPr>
          <w:ilvl w:val="1"/>
          <w:numId w:val="3"/>
        </w:numPr>
        <w:spacing w:lineRule="auto" w:line="240" w:before="0" w:after="0"/>
        <w:ind w:left="431" w:hanging="431"/>
        <w:contextualSpacing/>
        <w:jc w:val="left"/>
        <w:rPr>
          <w:color w:val="000000"/>
        </w:rPr>
      </w:pPr>
      <w:bookmarkStart w:id="11" w:name="_Toc54646398"/>
      <w:bookmarkStart w:id="12" w:name="_Toc46743507"/>
      <w:r>
        <w:rPr>
          <w:color w:val="000000"/>
          <w:sz w:val="24"/>
          <w:szCs w:val="24"/>
        </w:rPr>
        <w:t>Цель</w:t>
      </w:r>
      <w:bookmarkEnd w:id="12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выполнения работ:</w:t>
      </w:r>
      <w:r>
        <w:rPr>
          <w:color w:val="000000"/>
          <w:sz w:val="24"/>
          <w:szCs w:val="24"/>
        </w:rPr>
        <w:t xml:space="preserve"> </w:t>
      </w:r>
      <w:bookmarkEnd w:id="11"/>
      <w:r>
        <w:rPr>
          <w:color w:val="000000"/>
          <w:sz w:val="24"/>
          <w:szCs w:val="24"/>
        </w:rPr>
        <w:br/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397"/>
        <w:contextualSpacing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Определение компонентного состава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отходов для нужд Филиала</w:t>
      </w:r>
      <w:r>
        <w:rPr>
          <w:rFonts w:eastAsia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rFonts w:eastAsia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в соответствии с</w:t>
      </w:r>
      <w:r>
        <w:rPr>
          <w:b w:val="false"/>
          <w:bCs w:val="false"/>
          <w:color w:val="000000"/>
          <w:sz w:val="24"/>
          <w:szCs w:val="24"/>
        </w:rPr>
        <w:t xml:space="preserve"> Приложением № 1 к настоящим требованиям.</w:t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13" w:name="__RefHeading___Toc33125_428345931"/>
      <w:bookmarkStart w:id="14" w:name="_Toc54646399"/>
      <w:bookmarkStart w:id="15" w:name="_Toc46743508"/>
      <w:bookmarkEnd w:id="13"/>
      <w:r>
        <w:rPr>
          <w:sz w:val="24"/>
          <w:szCs w:val="24"/>
        </w:rPr>
        <w:t>Существующее положение</w:t>
      </w:r>
      <w:bookmarkEnd w:id="14"/>
      <w:bookmarkEnd w:id="15"/>
    </w:p>
    <w:p>
      <w:pPr>
        <w:pStyle w:val="Heading4"/>
        <w:numPr>
          <w:ilvl w:val="0"/>
          <w:numId w:val="0"/>
        </w:numPr>
        <w:ind w:left="432" w:hanging="0"/>
        <w:jc w:val="both"/>
        <w:rPr/>
      </w:pPr>
      <w:r>
        <w:rPr>
          <w:b w:val="false"/>
          <w:bCs w:val="false"/>
          <w:sz w:val="24"/>
          <w:szCs w:val="24"/>
          <w:lang w:val="ru-RU"/>
        </w:rPr>
        <w:t>1.4.1. В 2026 года в Филиале планируются к образованию новые виды отходов, для которых необходимо о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пределение компонентного состава с целью разработки паспортов на отходы I-IV классов опасности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ru-RU" w:eastAsia="ru-RU"/>
        </w:rPr>
        <w:t>.</w:t>
      </w:r>
    </w:p>
    <w:p>
      <w:pPr>
        <w:pStyle w:val="Heading4"/>
        <w:numPr>
          <w:ilvl w:val="0"/>
          <w:numId w:val="0"/>
        </w:numPr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1.4.3. Места отбора проб указаны в таблице 1:</w:t>
      </w:r>
    </w:p>
    <w:p>
      <w:pPr>
        <w:pStyle w:val="Heading1"/>
        <w:keepLines/>
        <w:numPr>
          <w:ilvl w:val="0"/>
          <w:numId w:val="0"/>
        </w:numPr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_RefHeading___Toc33127_428345931_Копия_"/>
      <w:bookmarkStart w:id="17" w:name="_Toc54646400"/>
      <w:bookmarkEnd w:id="1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7"/>
    </w:p>
    <w:tbl>
      <w:tblPr>
        <w:tblW w:w="99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30"/>
        <w:gridCol w:w="2695"/>
        <w:gridCol w:w="3305"/>
        <w:gridCol w:w="2325"/>
        <w:gridCol w:w="1035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sz w:val="24"/>
                <w:szCs w:val="24"/>
              </w:rPr>
              <w:t>Камская ГЭС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iCs/>
                <w:color w:val="000000"/>
                <w:sz w:val="24"/>
                <w:szCs w:val="24"/>
              </w:rPr>
              <w:t xml:space="preserve">Филиал ПАО “РусГидро”- “Камская ГЭС”, Российская Федерация, </w:t>
            </w: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eastAsia="ar-SA"/>
              </w:rPr>
              <w:t xml:space="preserve">Пермский край, г. Пермь, ул. </w:t>
            </w: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val="en-US" w:eastAsia="ar-SA"/>
              </w:rPr>
              <w:t>Соликамская, 329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8" w:name="__RefHeading___Toc33129_428345931"/>
      <w:bookmarkStart w:id="19" w:name="_Toc54646401"/>
      <w:bookmarkStart w:id="20" w:name="_Toc46743509"/>
      <w:bookmarkStart w:id="21" w:name="_Hlk49857604"/>
      <w:bookmarkEnd w:id="18"/>
      <w:r>
        <w:rPr/>
        <w:t xml:space="preserve">Информация в отношении исполнения договора, </w:t>
      </w:r>
      <w:bookmarkStart w:id="22" w:name="_Hlk46492347"/>
      <w:r>
        <w:rPr/>
        <w:t xml:space="preserve">которая должна быть учтена при подготовке заявки </w:t>
      </w:r>
      <w:bookmarkEnd w:id="2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0"/>
      <w:bookmarkEnd w:id="21"/>
      <w:r>
        <w:rPr>
          <w:lang w:val="ru-RU"/>
        </w:rPr>
        <w:t xml:space="preserve"> </w:t>
      </w:r>
      <w:bookmarkEnd w:id="19"/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/>
      </w:pPr>
      <w:r>
        <w:rPr>
          <w:rStyle w:val="Style8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1.5.1. Наличие у Исполнителя аккредитованной лаборатории на определение компонентного состава отходов. Возможно привлечение сторонней аккредитованной лаборатории. Перечень отходов указан в приложении 1.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>
          <w:rStyle w:val="Style8"/>
          <w:rFonts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>
          <w:lang w:val="ru-RU"/>
        </w:rPr>
      </w:pPr>
      <w:bookmarkStart w:id="23" w:name="_Toc50125126"/>
      <w:bookmarkStart w:id="24" w:name="_Toc46743510"/>
      <w:bookmarkStart w:id="25" w:name="_Hlk48209761_Копия_1"/>
      <w:bookmarkEnd w:id="23"/>
      <w:bookmarkEnd w:id="24"/>
      <w:bookmarkEnd w:id="25"/>
      <w:r>
        <w:rPr>
          <w:rStyle w:val="Style8"/>
          <w:rFonts w:cs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1.6. </w:t>
      </w:r>
      <w:r>
        <w:rPr>
          <w:b/>
          <w:bCs/>
          <w:sz w:val="24"/>
          <w:szCs w:val="24"/>
        </w:rPr>
        <w:t>И</w:t>
      </w:r>
      <w:bookmarkStart w:id="26" w:name="_Toc54646402"/>
      <w:r>
        <w:rPr>
          <w:b/>
          <w:bCs/>
          <w:sz w:val="24"/>
          <w:szCs w:val="24"/>
        </w:rPr>
        <w:t>ные требования и сведения общего характера</w:t>
      </w:r>
      <w:bookmarkEnd w:id="26"/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/>
      </w:pPr>
      <w:r>
        <w:rPr>
          <w:rStyle w:val="Style8"/>
          <w:rFonts w:eastAsia="Times New Roman"/>
          <w:b/>
          <w:i w:val="false"/>
          <w:sz w:val="24"/>
          <w:szCs w:val="24"/>
          <w:shd w:fill="auto" w:val="clear"/>
          <w:lang w:val="ru-RU" w:eastAsia="ru-RU"/>
        </w:rPr>
        <w:t>Иные условия определяются условиями договора. Договор заключается по форме заказчика, с предельной ценой, определенной заказчиком.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7" w:name="__RefHeading___Toc33135_428345931"/>
      <w:bookmarkStart w:id="28" w:name="_Toc54646403"/>
      <w:bookmarkStart w:id="29" w:name="_Toc51339693"/>
      <w:bookmarkEnd w:id="27"/>
      <w:r>
        <w:rPr>
          <w:iCs/>
        </w:rPr>
        <w:t>Требования к продукции</w:t>
      </w:r>
      <w:bookmarkEnd w:id="28"/>
      <w:bookmarkEnd w:id="29"/>
    </w:p>
    <w:p>
      <w:pPr>
        <w:pStyle w:val="Heading4"/>
        <w:numPr>
          <w:ilvl w:val="1"/>
          <w:numId w:val="3"/>
        </w:numPr>
        <w:rPr/>
      </w:pPr>
      <w:bookmarkStart w:id="30" w:name="__RefHeading___Toc33137_428345931"/>
      <w:bookmarkStart w:id="31" w:name="_Toc54646404"/>
      <w:bookmarkEnd w:id="30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31"/>
    </w:p>
    <w:p>
      <w:pPr>
        <w:pStyle w:val="Heading3"/>
        <w:numPr>
          <w:ilvl w:val="2"/>
          <w:numId w:val="3"/>
        </w:numPr>
        <w:rPr/>
      </w:pPr>
      <w:bookmarkStart w:id="32" w:name="__RefHeading___Toc33139_428345931"/>
      <w:bookmarkStart w:id="33" w:name="_Toc54646405"/>
      <w:bookmarkEnd w:id="32"/>
      <w:r>
        <w:rPr>
          <w:lang w:val="ru-RU"/>
        </w:rPr>
        <w:t>Требования к видам и объемам работ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4" w:name="__RefHeading___Toc33141_428345931"/>
      <w:bookmarkStart w:id="35" w:name="_Toc54646406"/>
      <w:bookmarkStart w:id="36" w:name="_Toc51339695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6"/>
      <w:r>
        <w:rPr>
          <w:sz w:val="24"/>
          <w:szCs w:val="24"/>
          <w:lang w:val="ru-RU"/>
        </w:rPr>
        <w:t>и объем выполняемых работ</w:t>
      </w:r>
      <w:bookmarkEnd w:id="35"/>
    </w:p>
    <w:tbl>
      <w:tblPr>
        <w:tblW w:w="98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51"/>
        <w:gridCol w:w="2003"/>
        <w:gridCol w:w="2105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numPr>
                <w:ilvl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Определение компонентного состава </w:t>
            </w:r>
            <w:r>
              <w:rPr>
                <w:rStyle w:val="Style8"/>
                <w:rFonts w:eastAsia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отходов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соответствии с Приложением 2 к настоящим Техническим требованиям)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2.1.1.1. После предоставления Заказчиком образцов отходов, указанных в приложении 1, Исполнитель осуществляет о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пределение компонентного состава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отходов</w:t>
      </w:r>
      <w:r>
        <w:rPr>
          <w:color w:val="000000"/>
          <w:sz w:val="24"/>
          <w:szCs w:val="24"/>
        </w:rPr>
        <w:t xml:space="preserve">, 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  <w:szCs w:val="24"/>
        </w:rPr>
        <w:t>2.1.1.3. Отбор и доставка проб  отходов Исполнителю осуществляется Заказчиком.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7" w:name="__RefHeading___Toc33143_428345931"/>
      <w:bookmarkStart w:id="38" w:name="_Toc54646407"/>
      <w:bookmarkStart w:id="39" w:name="_Toc51339696"/>
      <w:bookmarkEnd w:id="37"/>
      <w:r>
        <w:rPr>
          <w:lang w:val="ru-RU"/>
        </w:rPr>
        <w:t xml:space="preserve">Требования </w:t>
      </w:r>
      <w:bookmarkEnd w:id="39"/>
      <w:r>
        <w:rPr>
          <w:lang w:val="ru-RU"/>
        </w:rPr>
        <w:t>к срокам выполнения работ</w:t>
      </w:r>
      <w:bookmarkEnd w:id="38"/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0" w:name="__RefHeading___Toc33145_428345931"/>
      <w:bookmarkStart w:id="41" w:name="_Toc54646408"/>
      <w:bookmarkStart w:id="42" w:name="_Toc51339697"/>
      <w:bookmarkStart w:id="43" w:name="_Toc50125127"/>
      <w:bookmarkStart w:id="44" w:name="_Toc501251261"/>
      <w:bookmarkEnd w:id="40"/>
      <w:bookmarkEnd w:id="4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5" w:name="_Hlk50465284"/>
      <w:r>
        <w:rPr>
          <w:sz w:val="24"/>
          <w:szCs w:val="24"/>
        </w:rPr>
        <w:t xml:space="preserve">Требования по срокам </w:t>
      </w:r>
      <w:bookmarkEnd w:id="42"/>
      <w:bookmarkEnd w:id="43"/>
      <w:bookmarkEnd w:id="45"/>
      <w:r>
        <w:rPr>
          <w:sz w:val="24"/>
          <w:szCs w:val="24"/>
          <w:lang w:val="ru-RU"/>
        </w:rPr>
        <w:t>выполнения работ</w:t>
      </w:r>
      <w:bookmarkEnd w:id="41"/>
    </w:p>
    <w:tbl>
      <w:tblPr>
        <w:tblW w:w="10425" w:type="dxa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0"/>
        <w:gridCol w:w="4759"/>
        <w:gridCol w:w="2101"/>
        <w:gridCol w:w="2714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6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440" w:leader="none"/>
                <w:tab w:val="left" w:pos="2520" w:leader="none"/>
              </w:tabs>
              <w:ind w:right="-2" w:hanging="0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Определение компонентного состава </w:t>
            </w:r>
            <w:r>
              <w:rPr>
                <w:rStyle w:val="Style8"/>
                <w:rFonts w:eastAsia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отходов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01.06.2026 г.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30.06.2026 г.</w:t>
            </w:r>
          </w:p>
        </w:tc>
      </w:tr>
      <w:tr>
        <w:trPr>
          <w:trHeight w:val="91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both"/>
              <w:rPr/>
            </w:pPr>
            <w:r>
              <w:rPr>
                <w:rStyle w:val="Style8"/>
                <w:rFonts w:eastAsia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Предоставление Заказчику актов приема проб 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протоколов результатов  о</w:t>
            </w: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пределения компонентного состава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отходов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both"/>
              <w:rPr>
                <w:rFonts w:eastAsia="Times New Roman" w:cs="Times New Roman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01.07.2026 г.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15.07.2026 г.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30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_RefHeading___Toc33147_428345931"/>
      <w:bookmarkStart w:id="47" w:name="_Toc54646410"/>
      <w:bookmarkStart w:id="48" w:name="_Toc51339698"/>
      <w:bookmarkEnd w:id="46"/>
      <w:r>
        <w:rPr/>
        <w:t xml:space="preserve">Требования к </w:t>
      </w:r>
      <w:r>
        <w:rPr>
          <w:lang w:val="ru-RU"/>
        </w:rPr>
        <w:t>качеству работ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9" w:name="__RefHeading___Toc33149_428345931"/>
      <w:bookmarkEnd w:id="4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8"/>
      <w:r>
        <w:rPr>
          <w:sz w:val="24"/>
          <w:szCs w:val="24"/>
          <w:lang w:val="ru-RU"/>
        </w:rPr>
        <w:t>качеству работ</w:t>
      </w:r>
      <w:bookmarkEnd w:id="4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 </w:t>
      </w:r>
    </w:p>
    <w:tbl>
      <w:tblPr>
        <w:tblStyle w:val="affff6"/>
        <w:tblW w:w="1501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17"/>
        <w:gridCol w:w="1905"/>
        <w:gridCol w:w="6559"/>
        <w:gridCol w:w="2015"/>
        <w:gridCol w:w="3617"/>
      </w:tblGrid>
      <w:tr>
        <w:trPr/>
        <w:tc>
          <w:tcPr>
            <w:tcW w:w="9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Производство работ осуществляется за территорией эксплуатируемого объекта капитального строительства без остановки рабочего процесса</w:t>
            </w:r>
          </w:p>
        </w:tc>
        <w:tc>
          <w:tcPr>
            <w:tcW w:w="20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Подрядной организации перед началом производства работ и в процессе организации выполнения работ необходимо выполнять следующие требования: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- назначить ответственных лиц за производство работ в соответствии с НТД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60"/>
              <w:ind w:left="227" w:right="0" w:hanging="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Подрядчик должен обеспечить прием отобранных Заказчиком  проб отходов в соответствии с  приложением 1 к настоящим Техническим требованиям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 оформлением акта приема   проб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 определить компонентный состав отходов с использованием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методики контроля, указанной в области 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определние компонентногот состава отходов с оформлением протокола испытаний с указанием компонентного состава отхода.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0" w:leader="none"/>
                <w:tab w:val="left" w:pos="426" w:leader="none"/>
              </w:tabs>
              <w:ind w:left="0" w:right="-2" w:hanging="0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Наличие у подрядчика действующей </w:t>
            </w:r>
            <w:r>
              <w:rPr>
                <w:rStyle w:val="Style8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аккредитованной лаборатории или привлечение сторонней аккредитованной лаборатории на отходы, указанные в приложении 1.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0" w:leader="none"/>
                <w:tab w:val="left" w:pos="426" w:leader="none"/>
              </w:tabs>
              <w:ind w:left="0" w:right="-2" w:hanging="0"/>
              <w:jc w:val="left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Участник предоставляет копию аттестата аккредитации лаборатории с областью аккредитации в составе своего предложения на закупку</w:t>
            </w:r>
          </w:p>
        </w:tc>
      </w:tr>
      <w:tr>
        <w:trPr/>
        <w:tc>
          <w:tcPr>
            <w:tcW w:w="9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6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7710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Иметь в наличии персонал для определения компонентного состава отходов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выполнении работ Подрядчик должен соблюдать технологическую, производственную и трудовую дисциплину.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выполнении работ руководствоваться всеми необходимыми нормативными документами с последними изменениями и дополнениями: Правила по охране труда при работе с инструментом и приспособлениями  (утверждены приказом Минтруда и соцзащиты РФ от 27.11.2020 №835н,); </w:t>
            </w:r>
            <w:hyperlink r:id="rId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Правила по охране труда при погрузочно-разгрузочных работах и размещении грузов (утверждены приказом Минтруда и социальной защиты РФ от 28.10.2020г. № 753н);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hyperlink r:id="rId7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Правила пожарной безопасности для энергетических предприятий Р</w:t>
              </w:r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Д 153-34.0-03.301-00; Правила противопожарного режима в Российской Федерации 2012г. (с изм. От 20.09.2019г. №1216)</w:t>
              </w:r>
            </w:hyperlink>
            <w:r>
              <w:rPr>
                <w:rStyle w:val="Hyperlink"/>
                <w:rFonts w:eastAsia="Times New Roman" w:cs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;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иных норм и требований, действующего законодательства.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2.2.1.</w:t>
            </w:r>
          </w:p>
        </w:tc>
        <w:tc>
          <w:tcPr>
            <w:tcW w:w="846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Прием проб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определение компонентного состава отходов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должны осуществляться при следующих условиях: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соответствии с методикой контроля, указанной в области 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определение компонентного состава отходов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sz w:val="24"/>
                <w:szCs w:val="24"/>
              </w:rPr>
              <w:t xml:space="preserve">при наличии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на определение компонентного состава отходов, указанных в приложении 1 с оформлением акта приемки проб 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протоколов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испытаний с указанием компонентного состава отхода.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 составляет не менее 24 месяцев с момента подписания Акта выполненных работ.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before="6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>Требования к документации по ценообразованию на этапе закупки.</w:t>
      </w:r>
    </w:p>
    <w:p>
      <w:pPr>
        <w:pStyle w:val="Normal"/>
        <w:numPr>
          <w:ilvl w:val="1"/>
          <w:numId w:val="9"/>
        </w:numPr>
        <w:spacing w:before="60" w:after="0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eastAsia="x-none"/>
        </w:rPr>
        <w:t>О</w:t>
      </w:r>
      <w:r>
        <w:rPr>
          <w:b w:val="false"/>
          <w:bCs w:val="false"/>
          <w:color w:val="000000"/>
          <w:sz w:val="24"/>
          <w:szCs w:val="24"/>
          <w:lang w:eastAsia="x-none"/>
        </w:rPr>
        <w:t xml:space="preserve">ценивается стоимость </w:t>
      </w:r>
      <w:r>
        <w:rPr>
          <w:b/>
          <w:bCs/>
          <w:color w:val="000000"/>
          <w:sz w:val="24"/>
          <w:szCs w:val="24"/>
          <w:lang w:eastAsia="x-none"/>
        </w:rPr>
        <w:t>«расчетного заказа»</w:t>
      </w:r>
      <w:r>
        <w:rPr>
          <w:b w:val="false"/>
          <w:bCs w:val="false"/>
          <w:color w:val="000000"/>
          <w:sz w:val="24"/>
          <w:szCs w:val="24"/>
          <w:lang w:eastAsia="x-none"/>
        </w:rPr>
        <w:t>, который рассчитывается по форме Приложения 2 к настоящим Техническим требованиям</w:t>
      </w:r>
      <w:r>
        <w:rPr>
          <w:b w:val="false"/>
          <w:bCs w:val="false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0"/>
        </w:numPr>
        <w:spacing w:before="60" w:after="0"/>
        <w:ind w:left="1140" w:hanging="0"/>
        <w:jc w:val="both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1 - </w:t>
      </w:r>
      <w:r>
        <w:rPr>
          <w:b w:val="false"/>
          <w:bCs w:val="false"/>
          <w:color w:val="000000"/>
          <w:sz w:val="24"/>
          <w:szCs w:val="24"/>
        </w:rPr>
        <w:t>Планируемый объём закупки услуг на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о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>пределение компонентного состава отходов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Приложение 2 - </w:t>
      </w:r>
      <w:r>
        <w:rPr>
          <w:b w:val="false"/>
          <w:bCs w:val="false"/>
          <w:color w:val="000000"/>
          <w:sz w:val="20"/>
          <w:szCs w:val="20"/>
        </w:rPr>
        <w:t xml:space="preserve">ФОРМА </w:t>
      </w:r>
      <w:r>
        <w:rPr>
          <w:b w:val="false"/>
          <w:bCs w:val="false"/>
          <w:color w:val="000000"/>
          <w:sz w:val="24"/>
          <w:szCs w:val="24"/>
        </w:rPr>
        <w:t>для определения стоимости предложения.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Приложение №1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i/>
          <w:iCs/>
          <w:color w:val="000000"/>
          <w:sz w:val="24"/>
          <w:szCs w:val="24"/>
        </w:rPr>
        <w:t>к Техническим требованиям на услуги по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о</w:t>
      </w: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пределение компонентного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состава отходов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для нужд Филиала ПАО «РусГидро»-«Камская ГЭС»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  <w:sz w:val="24"/>
          <w:szCs w:val="24"/>
        </w:rPr>
        <w:t>Планируемый объём закупки услуг на</w:t>
      </w:r>
      <w:r>
        <w:rPr>
          <w:rStyle w:val="Style8"/>
          <w:rFonts w:eastAsia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о</w:t>
      </w:r>
      <w:r>
        <w:rPr>
          <w:rStyle w:val="Style8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>пределение компонентного состава отходов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5000" w:type="dxa"/>
        <w:jc w:val="left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0"/>
        <w:gridCol w:w="4600"/>
        <w:gridCol w:w="3950"/>
      </w:tblGrid>
      <w:tr>
        <w:trPr>
          <w:tblHeader w:val="true"/>
          <w:trHeight w:val="1005" w:hRule="atLeast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отхода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 ФККО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01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>
        <w:trPr>
          <w:tblHeader w:val="true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1194" w:hRule="atLeast"/>
        </w:trPr>
        <w:tc>
          <w:tcPr>
            <w:tcW w:w="6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Heading1"/>
              <w:keepNext w:val="true"/>
              <w:widowControl w:val="false"/>
              <w:suppressAutoHyphens w:val="true"/>
              <w:bidi w:val="0"/>
              <w:spacing w:lineRule="auto" w:line="240" w:before="0" w:after="0"/>
              <w:ind w:left="1247" w:right="0" w:hanging="1304"/>
              <w:contextualSpacing/>
              <w:jc w:val="left"/>
              <w:rPr>
                <w:rFonts w:ascii="Rubik" w:hAnsi="Rubik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Кондиционеры бытовые, не содержащие</w:t>
            </w:r>
          </w:p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247" w:right="0" w:hanging="1304"/>
              <w:contextualSpacing/>
              <w:jc w:val="left"/>
              <w:rPr>
                <w:rFonts w:ascii="Rubik" w:hAnsi="Rubik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зоноразрушающих веществ, утратившие потребительские</w:t>
            </w:r>
          </w:p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247" w:right="0" w:hanging="1304"/>
              <w:contextualSpacing/>
              <w:jc w:val="left"/>
              <w:rPr>
                <w:rFonts w:ascii="Rubik" w:hAnsi="Rubik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свойства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Heading1"/>
              <w:keepNext w:val="true"/>
              <w:widowControl w:val="false"/>
              <w:tabs>
                <w:tab w:val="left" w:pos="0" w:leader="none"/>
                <w:tab w:val="left" w:pos="120" w:leader="none"/>
              </w:tabs>
              <w:suppressAutoHyphens w:val="true"/>
              <w:bidi w:val="0"/>
              <w:spacing w:before="120" w:after="60"/>
              <w:ind w:left="1474" w:right="0" w:hanging="1417"/>
              <w:jc w:val="center"/>
              <w:rPr>
                <w:rFonts w:ascii="Rubik" w:hAnsi="Rubik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4 82 713 11 52 4</w:t>
            </w: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>
        <w:trPr>
          <w:trHeight w:val="1080" w:hRule="atLeast"/>
        </w:trPr>
        <w:tc>
          <w:tcPr>
            <w:tcW w:w="6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Светильники для освещения жилых и общественных помещений, утратившие потребительские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4 82 427 21 52 4</w:t>
            </w: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  <w:tr>
        <w:trPr/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 и отходы, содержащие несортированные цветные и черные металлы в виде изделий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4 62 011 92 20 4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Приложение №2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i/>
          <w:iCs/>
          <w:color w:val="000000"/>
          <w:sz w:val="24"/>
          <w:szCs w:val="24"/>
        </w:rPr>
        <w:t>к Техническим требованиям на услуги по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о</w:t>
      </w: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пределение компонентного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состава отходов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для нужд Филиала ПАО «РусГидро»-«Камская ГЭС»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</w:tabs>
        <w:jc w:val="center"/>
        <w:rPr>
          <w:sz w:val="24"/>
          <w:szCs w:val="24"/>
        </w:rPr>
      </w:pPr>
      <w:r>
        <w:rPr>
          <w:rFonts w:eastAsia="Times New Roman"/>
          <w:b/>
          <w:bCs/>
          <w:i w:val="false"/>
          <w:iCs w:val="false"/>
          <w:color w:val="000000"/>
          <w:sz w:val="24"/>
          <w:szCs w:val="24"/>
          <w:u w:val="none"/>
          <w:lang w:eastAsia="ru-RU"/>
        </w:rPr>
        <w:t>ФОРМА для определения стоимости предложения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W w:w="14745" w:type="dxa"/>
        <w:jc w:val="left"/>
        <w:tblInd w:w="55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125"/>
        <w:gridCol w:w="3695"/>
        <w:gridCol w:w="2440"/>
        <w:gridCol w:w="2039"/>
        <w:gridCol w:w="2610"/>
        <w:gridCol w:w="2835"/>
      </w:tblGrid>
      <w:tr>
        <w:trPr>
          <w:trHeight w:val="945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Стоимость </w:t>
              <w:br/>
              <w:t>1 позиции, руб. без НДС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Количество, ед.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Цена, без НДС, руб/ед.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Стоимость, без НДС, руб.</w:t>
            </w:r>
          </w:p>
        </w:tc>
      </w:tr>
      <w:tr>
        <w:trPr>
          <w:trHeight w:val="798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Определение </w:t>
            </w: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компонентного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состава отхода «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 xml:space="preserve">Кондиционеры бытовые, не содержащие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зоноразрушающих веществ, утратившие потребительские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свойства»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Определение </w:t>
            </w: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компонентного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состава отхода «Светильники для освещения жилых и общественных помещений, утратившие потребительские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свойства»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3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Определение </w:t>
            </w: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компонентного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состава отхода «Лом и отходы, содержащие несортированные цветные и черные металлы в виде изделий»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Оформление протокола испытаний с указанием 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компонентного  состава отхода</w:t>
            </w:r>
          </w:p>
          <w:p>
            <w:pPr>
              <w:pStyle w:val="Normal"/>
              <w:widowControl w:val="false"/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Rubik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6">
    <w:name w:val="WW8Num1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yperlink" Target="http://files.stroyinf.ru/Data2/1/4293767/4293767963.htm" TargetMode="External"/><Relationship Id="rId7" Type="http://schemas.openxmlformats.org/officeDocument/2006/relationships/hyperlink" Target="http://files.stroyinf.ru/data1/43/43607/" TargetMode="Externa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2515-A567-4983-977F-1610EF7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Application>AlterOffice/3.4.0.9$Linux_X86_64 LibreOffice_project/b8daf9e823b1a5463a2f48435ddc2e8696e7d4fc</Application>
  <AppVersion>15.0000</AppVersion>
  <DocSecurity>4</DocSecurity>
  <Pages>10</Pages>
  <Words>1259</Words>
  <Characters>8463</Characters>
  <CharactersWithSpaces>9548</CharactersWithSpaces>
  <Paragraphs>251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2024-01-12T05:43:00Z</dcterms:created>
  <dc:creator>Быстров Олег Геннадьевич</dc:creator>
  <dc:description/>
  <dc:language>ru-RU</dc:language>
  <cp:lastModifiedBy>shvalyukee@corp.gidroogk.com</cp:lastModifiedBy>
  <cp:lastPrinted>2025-11-11T11:46:50Z</cp:lastPrinted>
  <dcterms:modified xsi:type="dcterms:W3CDTF">2026-05-21T16:53:17Z</dcterms:modified>
  <cp:revision>50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